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499745</wp:posOffset>
            </wp:positionH>
            <wp:positionV relativeFrom="page">
              <wp:posOffset>748665</wp:posOffset>
            </wp:positionV>
            <wp:extent cx="65493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55245</wp:posOffset>
            </wp:positionV>
            <wp:extent cx="2554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87630</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44" w:lineRule="exact"/>
        <w:rPr>
          <w:sz w:val="24"/>
          <w:szCs w:val="24"/>
          <w:color w:val="auto"/>
        </w:rPr>
      </w:pPr>
    </w:p>
    <w:p>
      <w:pPr>
        <w:ind w:left="3820" w:right="880" w:hanging="2925"/>
        <w:spacing w:after="0" w:line="490" w:lineRule="auto"/>
        <w:tabs>
          <w:tab w:leader="none" w:pos="121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5" w:lineRule="exact"/>
        <w:rPr>
          <w:sz w:val="24"/>
          <w:szCs w:val="24"/>
          <w:color w:val="auto"/>
        </w:rPr>
      </w:pPr>
    </w:p>
    <w:p>
      <w:pPr>
        <w:ind w:left="3600" w:right="880" w:hanging="2705"/>
        <w:spacing w:after="0" w:line="427" w:lineRule="auto"/>
        <w:tabs>
          <w:tab w:leader="none" w:pos="120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33" w:lineRule="exact"/>
        <w:rPr>
          <w:sz w:val="24"/>
          <w:szCs w:val="24"/>
          <w:color w:val="auto"/>
        </w:rPr>
      </w:pPr>
    </w:p>
    <w:tbl>
      <w:tblPr>
        <w:tblLayout w:type="fixed"/>
        <w:tblInd w:w="47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80" w:type="dxa"/>
            <w:vAlign w:val="bottom"/>
            <w:gridSpan w:val="3"/>
          </w:tcPr>
          <w:p>
            <w:pPr>
              <w:jc w:val="center"/>
              <w:ind w:right="48"/>
              <w:spacing w:after="0"/>
              <w:rPr>
                <w:sz w:val="20"/>
                <w:szCs w:val="20"/>
                <w:color w:val="auto"/>
              </w:rPr>
            </w:pPr>
            <w:r>
              <w:rPr>
                <w:rFonts w:ascii="Times New Roman" w:cs="Times New Roman" w:eastAsia="Times New Roman" w:hAnsi="Times New Roman"/>
                <w:sz w:val="18"/>
                <w:szCs w:val="18"/>
                <w:b w:val="1"/>
                <w:bCs w:val="1"/>
                <w:color w:val="auto"/>
              </w:rPr>
              <w:t>Commission file number 001-40215</w:t>
            </w:r>
          </w:p>
        </w:tc>
        <w:tc>
          <w:tcPr>
            <w:tcW w:w="9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612"/>
        </w:trPr>
        <w:tc>
          <w:tcPr>
            <w:tcW w:w="2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20" w:type="dxa"/>
            <w:vAlign w:val="bottom"/>
            <w:gridSpan w:val="2"/>
          </w:tcPr>
          <w:p>
            <w:pPr>
              <w:jc w:val="center"/>
              <w:ind w:right="408"/>
              <w:spacing w:after="0"/>
              <w:rPr>
                <w:sz w:val="20"/>
                <w:szCs w:val="20"/>
                <w:color w:val="auto"/>
              </w:rPr>
            </w:pPr>
            <w:r>
              <w:rPr>
                <w:rFonts w:ascii="Times New Roman" w:cs="Times New Roman" w:eastAsia="Times New Roman" w:hAnsi="Times New Roman"/>
                <w:sz w:val="32"/>
                <w:szCs w:val="32"/>
                <w:b w:val="1"/>
                <w:bCs w:val="1"/>
                <w:color w:val="auto"/>
              </w:rPr>
              <w:t>Instil Bio, Inc.</w:t>
            </w:r>
          </w:p>
        </w:tc>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8"/>
        </w:trPr>
        <w:tc>
          <w:tcPr>
            <w:tcW w:w="2760" w:type="dxa"/>
            <w:vAlign w:val="bottom"/>
          </w:tcPr>
          <w:p>
            <w:pPr>
              <w:spacing w:after="0"/>
              <w:rPr>
                <w:sz w:val="20"/>
                <w:szCs w:val="20"/>
                <w:color w:val="auto"/>
              </w:rPr>
            </w:pPr>
          </w:p>
        </w:tc>
        <w:tc>
          <w:tcPr>
            <w:tcW w:w="7600" w:type="dxa"/>
            <w:vAlign w:val="bottom"/>
            <w:gridSpan w:val="6"/>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364"/>
        </w:trPr>
        <w:tc>
          <w:tcPr>
            <w:tcW w:w="3780" w:type="dxa"/>
            <w:vAlign w:val="bottom"/>
            <w:gridSpan w:val="2"/>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00" w:type="dxa"/>
            <w:vAlign w:val="bottom"/>
            <w:gridSpan w:val="2"/>
          </w:tcPr>
          <w:p>
            <w:pPr>
              <w:jc w:val="right"/>
              <w:ind w:right="2420"/>
              <w:spacing w:after="0"/>
              <w:rPr>
                <w:sz w:val="20"/>
                <w:szCs w:val="20"/>
                <w:color w:val="auto"/>
              </w:rPr>
            </w:pPr>
            <w:r>
              <w:rPr>
                <w:rFonts w:ascii="Times New Roman" w:cs="Times New Roman" w:eastAsia="Times New Roman" w:hAnsi="Times New Roman"/>
                <w:sz w:val="18"/>
                <w:szCs w:val="18"/>
                <w:b w:val="1"/>
                <w:bCs w:val="1"/>
                <w:color w:val="auto"/>
              </w:rPr>
              <w:t>83-2072195</w:t>
            </w:r>
          </w:p>
        </w:tc>
      </w:tr>
      <w:tr>
        <w:trPr>
          <w:trHeight w:val="207"/>
        </w:trPr>
        <w:tc>
          <w:tcPr>
            <w:tcW w:w="378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16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78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color w:val="auto"/>
              </w:rPr>
              <w:t>organization)</w:t>
            </w:r>
          </w:p>
        </w:tc>
        <w:tc>
          <w:tcPr>
            <w:tcW w:w="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352"/>
        </w:trPr>
        <w:tc>
          <w:tcPr>
            <w:tcW w:w="3780" w:type="dxa"/>
            <w:vAlign w:val="bottom"/>
            <w:gridSpan w:val="2"/>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3963 Maple Avenue, Suite 350</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00" w:type="dxa"/>
            <w:vAlign w:val="bottom"/>
            <w:gridSpan w:val="2"/>
          </w:tcPr>
          <w:p>
            <w:pPr>
              <w:jc w:val="right"/>
              <w:ind w:right="2620"/>
              <w:spacing w:after="0"/>
              <w:rPr>
                <w:sz w:val="20"/>
                <w:szCs w:val="20"/>
                <w:color w:val="auto"/>
              </w:rPr>
            </w:pPr>
            <w:r>
              <w:rPr>
                <w:rFonts w:ascii="Times New Roman" w:cs="Times New Roman" w:eastAsia="Times New Roman" w:hAnsi="Times New Roman"/>
                <w:sz w:val="18"/>
                <w:szCs w:val="18"/>
                <w:b w:val="1"/>
                <w:bCs w:val="1"/>
                <w:color w:val="auto"/>
              </w:rPr>
              <w:t>75219</w:t>
            </w:r>
          </w:p>
        </w:tc>
      </w:tr>
      <w:tr>
        <w:trPr>
          <w:trHeight w:val="239"/>
        </w:trPr>
        <w:tc>
          <w:tcPr>
            <w:tcW w:w="3780" w:type="dxa"/>
            <w:vAlign w:val="bottom"/>
            <w:gridSpan w:val="2"/>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00" w:type="dxa"/>
            <w:vAlign w:val="bottom"/>
            <w:gridSpan w:val="2"/>
          </w:tcPr>
          <w:p>
            <w:pPr>
              <w:jc w:val="center"/>
              <w:ind w:right="1980"/>
              <w:spacing w:after="0"/>
              <w:rPr>
                <w:sz w:val="20"/>
                <w:szCs w:val="20"/>
                <w:color w:val="auto"/>
              </w:rPr>
            </w:pPr>
            <w:r>
              <w:rPr>
                <w:rFonts w:ascii="Times New Roman" w:cs="Times New Roman" w:eastAsia="Times New Roman" w:hAnsi="Times New Roman"/>
                <w:sz w:val="14"/>
                <w:szCs w:val="14"/>
                <w:color w:val="auto"/>
              </w:rPr>
              <w:t>(Zip Code)</w:t>
            </w:r>
          </w:p>
        </w:tc>
      </w:tr>
      <w:tr>
        <w:trPr>
          <w:trHeight w:val="247"/>
        </w:trPr>
        <w:tc>
          <w:tcPr>
            <w:tcW w:w="378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84"/>
        </w:trPr>
        <w:tc>
          <w:tcPr>
            <w:tcW w:w="2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2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(972) 499-3350</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73"/>
        </w:trPr>
        <w:tc>
          <w:tcPr>
            <w:tcW w:w="2760" w:type="dxa"/>
            <w:vAlign w:val="bottom"/>
          </w:tcPr>
          <w:p>
            <w:pPr>
              <w:spacing w:after="0"/>
              <w:rPr>
                <w:sz w:val="15"/>
                <w:szCs w:val="15"/>
                <w:color w:val="auto"/>
              </w:rPr>
            </w:pPr>
          </w:p>
        </w:tc>
        <w:tc>
          <w:tcPr>
            <w:tcW w:w="3900" w:type="dxa"/>
            <w:vAlign w:val="bottom"/>
            <w:gridSpan w:val="4"/>
          </w:tcPr>
          <w:p>
            <w:pPr>
              <w:jc w:val="center"/>
              <w:ind w:left="8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9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78"/>
        </w:trPr>
        <w:tc>
          <w:tcPr>
            <w:tcW w:w="2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2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9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8"/>
        </w:trPr>
        <w:tc>
          <w:tcPr>
            <w:tcW w:w="2760" w:type="dxa"/>
            <w:vAlign w:val="bottom"/>
          </w:tcPr>
          <w:p>
            <w:pPr>
              <w:spacing w:after="0"/>
              <w:rPr>
                <w:sz w:val="16"/>
                <w:szCs w:val="16"/>
                <w:color w:val="auto"/>
              </w:rPr>
            </w:pPr>
          </w:p>
        </w:tc>
        <w:tc>
          <w:tcPr>
            <w:tcW w:w="7600" w:type="dxa"/>
            <w:vAlign w:val="bottom"/>
            <w:gridSpan w:val="6"/>
          </w:tcPr>
          <w:p>
            <w:pPr>
              <w:jc w:val="center"/>
              <w:ind w:right="280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r>
      <w:tr>
        <w:trPr>
          <w:trHeight w:val="91"/>
        </w:trPr>
        <w:tc>
          <w:tcPr>
            <w:tcW w:w="2760" w:type="dxa"/>
            <w:vAlign w:val="bottom"/>
          </w:tcPr>
          <w:p>
            <w:pPr>
              <w:spacing w:after="0"/>
              <w:rPr>
                <w:sz w:val="7"/>
                <w:szCs w:val="7"/>
                <w:color w:val="auto"/>
              </w:rPr>
            </w:pPr>
          </w:p>
        </w:tc>
        <w:tc>
          <w:tcPr>
            <w:tcW w:w="1380" w:type="dxa"/>
            <w:vAlign w:val="bottom"/>
            <w:tcBorders>
              <w:bottom w:val="single" w:sz="8" w:color="auto"/>
            </w:tcBorders>
            <w:gridSpan w:val="2"/>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2"/>
          </w:tcPr>
          <w:p>
            <w:pPr>
              <w:spacing w:after="0"/>
              <w:rPr>
                <w:sz w:val="7"/>
                <w:szCs w:val="7"/>
                <w:color w:val="auto"/>
              </w:rPr>
            </w:pPr>
          </w:p>
        </w:tc>
        <w:tc>
          <w:tcPr>
            <w:tcW w:w="2780" w:type="dxa"/>
            <w:vAlign w:val="bottom"/>
          </w:tcPr>
          <w:p>
            <w:pPr>
              <w:spacing w:after="0"/>
              <w:rPr>
                <w:sz w:val="7"/>
                <w:szCs w:val="7"/>
                <w:color w:val="auto"/>
              </w:rPr>
            </w:pPr>
          </w:p>
        </w:tc>
      </w:tr>
      <w:tr>
        <w:trPr>
          <w:trHeight w:val="291"/>
        </w:trPr>
        <w:tc>
          <w:tcPr>
            <w:tcW w:w="2760" w:type="dxa"/>
            <w:vAlign w:val="bottom"/>
          </w:tcPr>
          <w:p>
            <w:pPr>
              <w:spacing w:after="0"/>
              <w:rPr>
                <w:sz w:val="24"/>
                <w:szCs w:val="24"/>
                <w:color w:val="auto"/>
              </w:rPr>
            </w:pPr>
          </w:p>
        </w:tc>
        <w:tc>
          <w:tcPr>
            <w:tcW w:w="7600" w:type="dxa"/>
            <w:vAlign w:val="bottom"/>
            <w:gridSpan w:val="6"/>
          </w:tcPr>
          <w:p>
            <w:pPr>
              <w:jc w:val="center"/>
              <w:ind w:right="27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121"/>
        </w:trPr>
        <w:tc>
          <w:tcPr>
            <w:tcW w:w="378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2"/>
          </w:tcPr>
          <w:p>
            <w:pPr>
              <w:spacing w:after="0"/>
              <w:rPr>
                <w:sz w:val="10"/>
                <w:szCs w:val="10"/>
                <w:color w:val="auto"/>
              </w:rPr>
            </w:pPr>
          </w:p>
        </w:tc>
      </w:tr>
      <w:tr>
        <w:trPr>
          <w:trHeight w:val="237"/>
        </w:trPr>
        <w:tc>
          <w:tcPr>
            <w:tcW w:w="3780" w:type="dxa"/>
            <w:vAlign w:val="bottom"/>
            <w:tcBorders>
              <w:left w:val="single" w:sz="8" w:color="auto"/>
            </w:tcBorders>
            <w:gridSpan w:val="2"/>
          </w:tcPr>
          <w:p>
            <w:pPr>
              <w:jc w:val="center"/>
              <w:ind w:left="257"/>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0" w:type="dxa"/>
            <w:vAlign w:val="bottom"/>
          </w:tcPr>
          <w:p>
            <w:pPr>
              <w:spacing w:after="0"/>
              <w:rPr>
                <w:sz w:val="20"/>
                <w:szCs w:val="20"/>
                <w:color w:val="auto"/>
              </w:rPr>
            </w:pPr>
          </w:p>
        </w:tc>
        <w:tc>
          <w:tcPr>
            <w:tcW w:w="370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780" w:type="dxa"/>
            <w:vAlign w:val="bottom"/>
            <w:tcBorders>
              <w:left w:val="single" w:sz="8" w:color="auto"/>
              <w:bottom w:val="single" w:sz="8" w:color="auto"/>
            </w:tcBorders>
            <w:gridSpan w:val="2"/>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3780" w:type="dxa"/>
            <w:vAlign w:val="bottom"/>
            <w:tcBorders>
              <w:left w:val="single" w:sz="8" w:color="auto"/>
            </w:tcBorders>
            <w:gridSpan w:val="2"/>
          </w:tcPr>
          <w:p>
            <w:pPr>
              <w:jc w:val="center"/>
              <w:ind w:left="257"/>
              <w:spacing w:after="0"/>
              <w:rPr>
                <w:sz w:val="20"/>
                <w:szCs w:val="20"/>
                <w:color w:val="auto"/>
              </w:rPr>
            </w:pPr>
            <w:r>
              <w:rPr>
                <w:rFonts w:ascii="Times New Roman" w:cs="Times New Roman" w:eastAsia="Times New Roman" w:hAnsi="Times New Roman"/>
                <w:sz w:val="18"/>
                <w:szCs w:val="18"/>
                <w:color w:val="auto"/>
              </w:rPr>
              <w:t>Common Stock, $0.000001 par value per share</w:t>
            </w:r>
          </w:p>
        </w:tc>
        <w:tc>
          <w:tcPr>
            <w:tcW w:w="3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TIL</w:t>
            </w:r>
          </w:p>
        </w:tc>
        <w:tc>
          <w:tcPr>
            <w:tcW w:w="460" w:type="dxa"/>
            <w:vAlign w:val="bottom"/>
          </w:tcPr>
          <w:p>
            <w:pPr>
              <w:spacing w:after="0"/>
              <w:rPr>
                <w:sz w:val="20"/>
                <w:szCs w:val="20"/>
                <w:color w:val="auto"/>
              </w:rPr>
            </w:pPr>
          </w:p>
        </w:tc>
        <w:tc>
          <w:tcPr>
            <w:tcW w:w="370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276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4"/>
          <w:szCs w:val="24"/>
          <w:color w:val="auto"/>
        </w:rPr>
      </w:pPr>
    </w:p>
    <w:p>
      <w:pPr>
        <w:ind w:right="18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1"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pursuant to Rule 405 of Regulation S-T (§232.405 of this chapter) during the preceding 12 months (or for such shorter period that the registrant was required to submit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2"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7" w:lineRule="exact"/>
        <w:rPr>
          <w:sz w:val="24"/>
          <w:szCs w:val="24"/>
          <w:color w:val="auto"/>
        </w:rPr>
      </w:pPr>
    </w:p>
    <w:tbl>
      <w:tblPr>
        <w:tblLayout w:type="fixed"/>
        <w:tblInd w:w="1560" w:type="dxa"/>
        <w:tblCellMar>
          <w:top w:w="0" w:type="dxa"/>
          <w:left w:w="0" w:type="dxa"/>
          <w:bottom w:w="0" w:type="dxa"/>
          <w:right w:w="0" w:type="dxa"/>
        </w:tblCellMar>
      </w:tblPr>
      <w:tr>
        <w:trPr>
          <w:trHeight w:val="225"/>
        </w:trPr>
        <w:tc>
          <w:tcPr>
            <w:tcW w:w="1980" w:type="dxa"/>
            <w:vAlign w:val="bottom"/>
          </w:tcPr>
          <w:p>
            <w:pPr>
              <w:jc w:val="center"/>
              <w:ind w:right="628"/>
              <w:spacing w:after="0"/>
              <w:rPr>
                <w:sz w:val="20"/>
                <w:szCs w:val="20"/>
                <w:color w:val="auto"/>
              </w:rPr>
            </w:pPr>
            <w:r>
              <w:rPr>
                <w:rFonts w:ascii="Times New Roman" w:cs="Times New Roman" w:eastAsia="Times New Roman" w:hAnsi="Times New Roman"/>
                <w:sz w:val="14"/>
                <w:szCs w:val="14"/>
                <w:color w:val="auto"/>
              </w:rPr>
              <w:t>Large accelerated filer</w:t>
            </w:r>
          </w:p>
        </w:tc>
        <w:tc>
          <w:tcPr>
            <w:tcW w:w="1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83"/>
        </w:trPr>
        <w:tc>
          <w:tcPr>
            <w:tcW w:w="198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Non-accelerated filer</w:t>
            </w:r>
          </w:p>
        </w:tc>
        <w:tc>
          <w:tcPr>
            <w:tcW w:w="14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6"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7600" w:type="dxa"/>
            <w:vAlign w:val="bottom"/>
            <w:gridSpan w:val="3"/>
          </w:tcPr>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5"/>
        </w:trPr>
        <w:tc>
          <w:tcPr>
            <w:tcW w:w="7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w:t>
            </w:r>
          </w:p>
        </w:tc>
        <w:tc>
          <w:tcPr>
            <w:tcW w:w="8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307"/>
        </w:trPr>
        <w:tc>
          <w:tcPr>
            <w:tcW w:w="19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of Common Stock</w:t>
            </w:r>
          </w:p>
        </w:tc>
        <w:tc>
          <w:tcPr>
            <w:tcW w:w="4300" w:type="dxa"/>
            <w:vAlign w:val="bottom"/>
          </w:tcPr>
          <w:p>
            <w:pPr>
              <w:spacing w:after="0"/>
              <w:rPr>
                <w:sz w:val="24"/>
                <w:szCs w:val="24"/>
                <w:color w:val="auto"/>
              </w:rPr>
            </w:pPr>
          </w:p>
        </w:tc>
        <w:tc>
          <w:tcPr>
            <w:tcW w:w="3640" w:type="dxa"/>
            <w:vAlign w:val="bottom"/>
            <w:gridSpan w:val="3"/>
          </w:tcPr>
          <w:p>
            <w:pPr>
              <w:jc w:val="center"/>
              <w:ind w:right="2800"/>
              <w:spacing w:after="0"/>
              <w:rPr>
                <w:sz w:val="20"/>
                <w:szCs w:val="20"/>
                <w:color w:val="auto"/>
              </w:rPr>
            </w:pPr>
            <w:r>
              <w:rPr>
                <w:rFonts w:ascii="Times New Roman" w:cs="Times New Roman" w:eastAsia="Times New Roman" w:hAnsi="Times New Roman"/>
                <w:sz w:val="14"/>
                <w:szCs w:val="14"/>
                <w:color w:val="auto"/>
              </w:rPr>
              <w:t>Outstanding at</w:t>
            </w:r>
          </w:p>
        </w:tc>
      </w:tr>
      <w:tr>
        <w:trPr>
          <w:trHeight w:val="20"/>
        </w:trPr>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0"/>
        </w:trPr>
        <w:tc>
          <w:tcPr>
            <w:tcW w:w="7600" w:type="dxa"/>
            <w:vAlign w:val="bottom"/>
            <w:gridSpan w:val="3"/>
          </w:tcPr>
          <w:p>
            <w:pPr>
              <w:jc w:val="center"/>
              <w:ind w:right="2420"/>
              <w:spacing w:after="0"/>
              <w:rPr>
                <w:sz w:val="20"/>
                <w:szCs w:val="20"/>
                <w:color w:val="auto"/>
              </w:rPr>
            </w:pPr>
            <w:r>
              <w:rPr>
                <w:rFonts w:ascii="Times New Roman" w:cs="Times New Roman" w:eastAsia="Times New Roman" w:hAnsi="Times New Roman"/>
                <w:sz w:val="14"/>
                <w:szCs w:val="14"/>
                <w:color w:val="auto"/>
              </w:rPr>
              <w:t>6,781,976 shares of Common Stock, $0.000001 par value per share</w:t>
            </w:r>
          </w:p>
        </w:tc>
        <w:tc>
          <w:tcPr>
            <w:tcW w:w="3640" w:type="dxa"/>
            <w:vAlign w:val="bottom"/>
            <w:gridSpan w:val="3"/>
          </w:tcPr>
          <w:p>
            <w:pPr>
              <w:jc w:val="center"/>
              <w:ind w:right="2800"/>
              <w:spacing w:after="0"/>
              <w:rPr>
                <w:sz w:val="20"/>
                <w:szCs w:val="20"/>
                <w:color w:val="auto"/>
              </w:rPr>
            </w:pPr>
            <w:r>
              <w:rPr>
                <w:rFonts w:ascii="Times New Roman" w:cs="Times New Roman" w:eastAsia="Times New Roman" w:hAnsi="Times New Roman"/>
                <w:sz w:val="14"/>
                <w:szCs w:val="14"/>
                <w:color w:val="auto"/>
              </w:rPr>
              <w:t>May 13, 2026</w:t>
            </w:r>
          </w:p>
        </w:tc>
      </w:tr>
      <w:tr>
        <w:trPr>
          <w:trHeight w:val="233"/>
        </w:trPr>
        <w:tc>
          <w:tcPr>
            <w:tcW w:w="19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533"/>
        </w:trPr>
        <w:tc>
          <w:tcPr>
            <w:tcW w:w="19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00" w:gutter="0" w:footer="0" w:header="0"/>
        </w:sectPr>
      </w:pPr>
    </w:p>
    <w:bookmarkStart w:id="1" w:name="page2"/>
    <w:bookmarkEnd w:id="1"/>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6"/>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50"/>
        </w:trPr>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9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0000FF"/>
              </w:rPr>
              <w:t>2</w:t>
            </w:r>
          </w:p>
        </w:tc>
        <w:tc>
          <w:tcPr>
            <w:tcW w:w="140" w:type="dxa"/>
            <w:vAlign w:val="bottom"/>
          </w:tcPr>
          <w:p>
            <w:pPr>
              <w:spacing w:after="0"/>
              <w:rPr>
                <w:sz w:val="21"/>
                <w:szCs w:val="2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7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9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0000FF"/>
              </w:rPr>
              <w:t>2</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0000FF"/>
              </w:rPr>
              <w:t>2</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4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080" w:type="dxa"/>
            <w:vAlign w:val="bottom"/>
            <w:gridSpan w:val="2"/>
          </w:tcPr>
          <w:p>
            <w:pPr>
              <w:spacing w:after="0"/>
              <w:rPr>
                <w:sz w:val="21"/>
                <w:szCs w:val="21"/>
                <w:color w:val="auto"/>
              </w:rPr>
            </w:pPr>
          </w:p>
        </w:tc>
        <w:tc>
          <w:tcPr>
            <w:tcW w:w="1880" w:type="dxa"/>
            <w:vAlign w:val="bottom"/>
            <w:gridSpan w:val="2"/>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21"/>
                <w:szCs w:val="2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9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0000FF"/>
              </w:rPr>
              <w:t>4</w:t>
            </w:r>
          </w:p>
        </w:tc>
        <w:tc>
          <w:tcPr>
            <w:tcW w:w="140" w:type="dxa"/>
            <w:vAlign w:val="bottom"/>
          </w:tcPr>
          <w:p>
            <w:pPr>
              <w:spacing w:after="0"/>
              <w:rPr>
                <w:sz w:val="21"/>
                <w:szCs w:val="2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0" w:type="dxa"/>
            <w:vAlign w:val="bottom"/>
            <w:tcBorders>
              <w:top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220" w:type="dxa"/>
            <w:vAlign w:val="bottom"/>
            <w:gridSpan w:val="4"/>
          </w:tcPr>
          <w:p>
            <w:pPr>
              <w:spacing w:after="0"/>
              <w:rPr>
                <w:sz w:val="21"/>
                <w:szCs w:val="21"/>
                <w:color w:val="auto"/>
              </w:rPr>
            </w:pPr>
          </w:p>
        </w:tc>
        <w:tc>
          <w:tcPr>
            <w:tcW w:w="1880" w:type="dxa"/>
            <w:vAlign w:val="bottom"/>
            <w:gridSpan w:val="2"/>
          </w:tcPr>
          <w:p>
            <w:pPr>
              <w:spacing w:after="0"/>
              <w:rPr>
                <w:sz w:val="21"/>
                <w:szCs w:val="21"/>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0000FF"/>
              </w:rPr>
              <w:t>6</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7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760" w:type="dxa"/>
            <w:vAlign w:val="bottom"/>
          </w:tcPr>
          <w:p>
            <w:pPr>
              <w:spacing w:after="0"/>
              <w:rPr>
                <w:sz w:val="21"/>
                <w:szCs w:val="21"/>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19</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212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28</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3880" w:type="dxa"/>
            <w:vAlign w:val="bottom"/>
            <w:tcBorders>
              <w:left w:val="single" w:sz="8" w:color="0000FF"/>
            </w:tcBorders>
            <w:gridSpan w:val="3"/>
          </w:tcPr>
          <w:p>
            <w:pPr>
              <w:spacing w:after="0" w:line="20" w:lineRule="exact"/>
              <w:rPr>
                <w:sz w:val="1"/>
                <w:szCs w:val="1"/>
                <w:color w:val="auto"/>
              </w:rPr>
            </w:pPr>
          </w:p>
        </w:tc>
        <w:tc>
          <w:tcPr>
            <w:tcW w:w="18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60" w:type="dxa"/>
            <w:vAlign w:val="bottom"/>
            <w:gridSpan w:val="7"/>
          </w:tcPr>
          <w:p>
            <w:pPr>
              <w:spacing w:after="0"/>
              <w:rPr>
                <w:sz w:val="21"/>
                <w:szCs w:val="21"/>
                <w:color w:val="auto"/>
              </w:rPr>
            </w:pPr>
          </w:p>
        </w:tc>
        <w:tc>
          <w:tcPr>
            <w:tcW w:w="3880" w:type="dxa"/>
            <w:vAlign w:val="bottom"/>
            <w:gridSpan w:val="3"/>
          </w:tcPr>
          <w:p>
            <w:pPr>
              <w:spacing w:after="0"/>
              <w:rPr>
                <w:sz w:val="21"/>
                <w:szCs w:val="21"/>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28</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8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c>
          <w:tcPr>
            <w:tcW w:w="140" w:type="dxa"/>
            <w:vAlign w:val="bottom"/>
          </w:tcPr>
          <w:p>
            <w:pPr>
              <w:spacing w:after="0"/>
              <w:rPr>
                <w:sz w:val="21"/>
                <w:szCs w:val="2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8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Item 1. Legal Proceedings</w:t>
            </w:r>
          </w:p>
        </w:tc>
        <w:tc>
          <w:tcPr>
            <w:tcW w:w="6900" w:type="dxa"/>
            <w:vAlign w:val="bottom"/>
            <w:gridSpan w:val="11"/>
          </w:tcPr>
          <w:p>
            <w:pPr>
              <w:spacing w:after="0"/>
              <w:rPr>
                <w:sz w:val="21"/>
                <w:szCs w:val="21"/>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gridSpan w:val="2"/>
          </w:tcPr>
          <w:p>
            <w:pPr>
              <w:spacing w:after="0"/>
              <w:rPr>
                <w:sz w:val="21"/>
                <w:szCs w:val="21"/>
                <w:color w:val="auto"/>
              </w:rPr>
            </w:pPr>
          </w:p>
        </w:tc>
        <w:tc>
          <w:tcPr>
            <w:tcW w:w="6900" w:type="dxa"/>
            <w:vAlign w:val="bottom"/>
            <w:gridSpan w:val="11"/>
          </w:tcPr>
          <w:p>
            <w:pPr>
              <w:spacing w:after="0"/>
              <w:rPr>
                <w:sz w:val="21"/>
                <w:szCs w:val="21"/>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8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7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880" w:type="dxa"/>
            <w:vAlign w:val="bottom"/>
            <w:gridSpan w:val="3"/>
          </w:tcPr>
          <w:p>
            <w:pPr>
              <w:spacing w:after="0"/>
              <w:rPr>
                <w:sz w:val="21"/>
                <w:szCs w:val="21"/>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Pr>
          <w:p>
            <w:pPr>
              <w:spacing w:after="0"/>
              <w:rPr>
                <w:sz w:val="21"/>
                <w:szCs w:val="21"/>
                <w:color w:val="auto"/>
              </w:rPr>
            </w:pPr>
          </w:p>
        </w:tc>
        <w:tc>
          <w:tcPr>
            <w:tcW w:w="5900" w:type="dxa"/>
            <w:vAlign w:val="bottom"/>
            <w:gridSpan w:val="9"/>
          </w:tcPr>
          <w:p>
            <w:pPr>
              <w:spacing w:after="0"/>
              <w:rPr>
                <w:sz w:val="21"/>
                <w:szCs w:val="21"/>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460" w:type="dxa"/>
            <w:vAlign w:val="bottom"/>
          </w:tcPr>
          <w:p>
            <w:pPr>
              <w:spacing w:after="0"/>
              <w:rPr>
                <w:sz w:val="21"/>
                <w:szCs w:val="21"/>
                <w:color w:val="auto"/>
              </w:rPr>
            </w:pPr>
          </w:p>
        </w:tc>
        <w:tc>
          <w:tcPr>
            <w:tcW w:w="6440" w:type="dxa"/>
            <w:vAlign w:val="bottom"/>
            <w:gridSpan w:val="10"/>
          </w:tcPr>
          <w:p>
            <w:pPr>
              <w:spacing w:after="0"/>
              <w:rPr>
                <w:sz w:val="21"/>
                <w:szCs w:val="21"/>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18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6900" w:type="dxa"/>
            <w:vAlign w:val="bottom"/>
            <w:gridSpan w:val="11"/>
          </w:tcPr>
          <w:p>
            <w:pPr>
              <w:spacing w:after="0"/>
              <w:rPr>
                <w:sz w:val="21"/>
                <w:szCs w:val="21"/>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c>
          <w:tcPr>
            <w:tcW w:w="18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31</w:t>
            </w:r>
          </w:p>
        </w:tc>
        <w:tc>
          <w:tcPr>
            <w:tcW w:w="140" w:type="dxa"/>
            <w:vAlign w:val="bottom"/>
          </w:tcPr>
          <w:p>
            <w:pPr>
              <w:spacing w:after="0"/>
              <w:rPr>
                <w:sz w:val="21"/>
                <w:szCs w:val="2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2" w:name="page3"/>
    <w:bookmarkEnd w:id="2"/>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112,096</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188,302</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191,429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rent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200,428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84,806</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$0.000001 per share; 10,000,000 shares authorized; zero shares issued and</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18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par value $0.000001 per share; 300,000,000 shares authorized; 6,781,976 shares issued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March 31, 2026, and December 31, 2025</w:t>
            </w: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840,937</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(726,488)</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113,866</w:t>
            </w:r>
          </w:p>
        </w:tc>
        <w:tc>
          <w:tcPr>
            <w:tcW w:w="0" w:type="dxa"/>
            <w:vAlign w:val="bottom"/>
          </w:tcPr>
          <w:p>
            <w:pPr>
              <w:spacing w:after="0"/>
              <w:rPr>
                <w:sz w:val="1"/>
                <w:szCs w:val="1"/>
                <w:color w:val="auto"/>
              </w:rPr>
            </w:pPr>
          </w:p>
        </w:tc>
      </w:t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200,428</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203,523</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1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22860</wp:posOffset>
            </wp:positionV>
            <wp:extent cx="1877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0" w:type="dxa"/>
            <w:vAlign w:val="bottom"/>
          </w:tcPr>
          <w:p>
            <w:pPr>
              <w:spacing w:after="0"/>
              <w:rPr>
                <w:sz w:val="1"/>
                <w:szCs w:val="1"/>
                <w:color w:val="auto"/>
              </w:rPr>
            </w:pP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0" w:type="dxa"/>
            <w:vAlign w:val="bottom"/>
          </w:tcPr>
          <w:p>
            <w:pPr>
              <w:spacing w:after="0"/>
              <w:rPr>
                <w:sz w:val="1"/>
                <w:szCs w:val="1"/>
                <w:color w:val="auto"/>
              </w:rPr>
            </w:pP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rental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contract termination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available-for-sale securities,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comprehensive loss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6,532,658</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w:t>
      </w:r>
      <w:r>
        <w:rPr>
          <w:rFonts w:ascii="Times New Roman" w:cs="Times New Roman" w:eastAsia="Times New Roman" w:hAnsi="Times New Roman"/>
          <w:sz w:val="18"/>
          <w:szCs w:val="18"/>
          <w:color w:val="auto"/>
        </w:rPr>
        <w:t>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040" w:type="dxa"/>
            <w:vAlign w:val="bottom"/>
            <w:gridSpan w:val="4"/>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204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vMerge w:val="continue"/>
          </w:tcPr>
          <w:p>
            <w:pPr>
              <w:spacing w:after="0"/>
              <w:rPr>
                <w:sz w:val="15"/>
                <w:szCs w:val="15"/>
                <w:color w:val="auto"/>
              </w:rPr>
            </w:pPr>
          </w:p>
        </w:tc>
        <w:tc>
          <w:tcPr>
            <w:tcW w:w="108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December 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6,781,976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840,937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(726,488)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113,866</w:t>
            </w:r>
          </w:p>
        </w:tc>
        <w:tc>
          <w:tcPr>
            <w:tcW w:w="0" w:type="dxa"/>
            <w:vAlign w:val="bottom"/>
          </w:tcPr>
          <w:p>
            <w:pPr>
              <w:spacing w:after="0"/>
              <w:rPr>
                <w:sz w:val="1"/>
                <w:szCs w:val="1"/>
                <w:color w:val="auto"/>
              </w:rPr>
            </w:pPr>
          </w:p>
        </w:tc>
      </w:tr>
      <w:tr>
        <w:trPr>
          <w:trHeight w:val="233"/>
        </w:trPr>
        <w:tc>
          <w:tcPr>
            <w:tcW w:w="4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253"/>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6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March 31, 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6,781,976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841,922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(730,692)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60" w:top="1035" w:right="379" w:bottom="1440" w:gutter="0" w:footer="0" w:header="0"/>
        </w:sectPr>
      </w:pPr>
    </w:p>
    <w:p>
      <w:pPr>
        <w:spacing w:after="0" w:line="3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b w:val="1"/>
          <w:bCs w:val="1"/>
          <w:color w:val="auto"/>
        </w:rPr>
        <w:t>Additional</w:t>
      </w:r>
    </w:p>
    <w:p>
      <w:pPr>
        <w:ind w:left="5180"/>
        <w:spacing w:after="0" w:line="214" w:lineRule="auto"/>
        <w:tabs>
          <w:tab w:leader="none" w:pos="7040" w:val="left"/>
        </w:tabs>
        <w:rPr>
          <w:sz w:val="20"/>
          <w:szCs w:val="20"/>
          <w:color w:val="auto"/>
        </w:rPr>
      </w:pPr>
      <w:r>
        <w:rPr>
          <w:rFonts w:ascii="Times New Roman" w:cs="Times New Roman" w:eastAsia="Times New Roman" w:hAnsi="Times New Roman"/>
          <w:sz w:val="16"/>
          <w:szCs w:val="16"/>
          <w:b w:val="1"/>
          <w:bCs w:val="1"/>
          <w:color w:val="auto"/>
        </w:rPr>
        <w:t>Common Stock</w:t>
      </w:r>
      <w:r>
        <w:rPr>
          <w:sz w:val="20"/>
          <w:szCs w:val="20"/>
          <w:color w:val="auto"/>
        </w:rPr>
        <w:tab/>
      </w:r>
      <w:r>
        <w:rPr>
          <w:rFonts w:ascii="Times New Roman" w:cs="Times New Roman" w:eastAsia="Times New Roman" w:hAnsi="Times New Roman"/>
          <w:sz w:val="24"/>
          <w:szCs w:val="24"/>
          <w:b w:val="1"/>
          <w:bCs w:val="1"/>
          <w:color w:val="auto"/>
          <w:vertAlign w:val="subscript"/>
        </w:rPr>
        <w:t>Paid-in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-20955</wp:posOffset>
            </wp:positionV>
            <wp:extent cx="12941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4960"/>
        <w:spacing w:after="0"/>
        <w:tabs>
          <w:tab w:leader="none" w:pos="5940" w:val="left"/>
          <w:tab w:leader="none" w:pos="7020" w:val="left"/>
        </w:tabs>
        <w:rPr>
          <w:sz w:val="20"/>
          <w:szCs w:val="20"/>
          <w:color w:val="auto"/>
        </w:rPr>
      </w:pPr>
      <w:r>
        <w:rPr>
          <w:rFonts w:ascii="Times New Roman" w:cs="Times New Roman" w:eastAsia="Times New Roman" w:hAnsi="Times New Roman"/>
          <w:sz w:val="16"/>
          <w:szCs w:val="16"/>
          <w:b w:val="1"/>
          <w:bCs w:val="1"/>
          <w:color w:val="auto"/>
        </w:rPr>
        <w:t>Shares</w:t>
      </w:r>
      <w:r>
        <w:rPr>
          <w:sz w:val="20"/>
          <w:szCs w:val="20"/>
          <w:color w:val="auto"/>
        </w:rPr>
        <w:tab/>
      </w:r>
      <w:r>
        <w:rPr>
          <w:rFonts w:ascii="Times New Roman" w:cs="Times New Roman" w:eastAsia="Times New Roman" w:hAnsi="Times New Roman"/>
          <w:sz w:val="16"/>
          <w:szCs w:val="16"/>
          <w:b w:val="1"/>
          <w:bCs w:val="1"/>
          <w:color w:val="auto"/>
        </w:rPr>
        <w:t>Amount</w:t>
      </w:r>
      <w:r>
        <w:rPr>
          <w:sz w:val="20"/>
          <w:szCs w:val="20"/>
          <w:color w:val="auto"/>
        </w:rPr>
        <w:tab/>
      </w:r>
      <w:r>
        <w:rPr>
          <w:rFonts w:ascii="Times New Roman" w:cs="Times New Roman" w:eastAsia="Times New Roman" w:hAnsi="Times New Roman"/>
          <w:sz w:val="16"/>
          <w:szCs w:val="16"/>
          <w:b w:val="1"/>
          <w:bCs w:val="1"/>
          <w:color w:val="auto"/>
        </w:rPr>
        <w:t>Capital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p>
      <w:pPr>
        <w:ind w:left="340"/>
        <w:spacing w:after="0" w:line="182" w:lineRule="auto"/>
        <w:tabs>
          <w:tab w:leader="none" w:pos="2560" w:val="left"/>
        </w:tabs>
        <w:rPr>
          <w:sz w:val="20"/>
          <w:szCs w:val="20"/>
          <w:color w:val="auto"/>
        </w:rPr>
      </w:pPr>
      <w:r>
        <w:rPr>
          <w:rFonts w:ascii="Times New Roman" w:cs="Times New Roman" w:eastAsia="Times New Roman" w:hAnsi="Times New Roman"/>
          <w:sz w:val="14"/>
          <w:szCs w:val="14"/>
          <w:b w:val="1"/>
          <w:bCs w:val="1"/>
          <w:color w:val="auto"/>
        </w:rPr>
        <w:t>Other</w:t>
      </w:r>
      <w:r>
        <w:rPr>
          <w:sz w:val="20"/>
          <w:szCs w:val="20"/>
          <w:color w:val="auto"/>
        </w:rPr>
        <w:tab/>
      </w:r>
      <w:r>
        <w:rPr>
          <w:rFonts w:ascii="Times New Roman" w:cs="Times New Roman" w:eastAsia="Times New Roman" w:hAnsi="Times New Roman"/>
          <w:sz w:val="26"/>
          <w:szCs w:val="26"/>
          <w:b w:val="1"/>
          <w:bCs w:val="1"/>
          <w:color w:val="auto"/>
          <w:vertAlign w:val="subscript"/>
        </w:rPr>
        <w:t>Total</w:t>
      </w:r>
    </w:p>
    <w:p>
      <w:pPr>
        <w:spacing w:after="0"/>
        <w:tabs>
          <w:tab w:leader="none" w:pos="1200" w:val="left"/>
          <w:tab w:leader="none" w:pos="2260" w:val="left"/>
        </w:tabs>
        <w:rPr>
          <w:sz w:val="20"/>
          <w:szCs w:val="20"/>
          <w:color w:val="auto"/>
        </w:rPr>
      </w:pPr>
      <w:r>
        <w:rPr>
          <w:rFonts w:ascii="Times New Roman" w:cs="Times New Roman" w:eastAsia="Times New Roman" w:hAnsi="Times New Roman"/>
          <w:sz w:val="28"/>
          <w:szCs w:val="28"/>
          <w:b w:val="1"/>
          <w:bCs w:val="1"/>
          <w:color w:val="auto"/>
          <w:vertAlign w:val="superscript"/>
        </w:rPr>
        <w:t>Comprehensive</w:t>
      </w:r>
      <w:r>
        <w:rPr>
          <w:sz w:val="20"/>
          <w:szCs w:val="20"/>
          <w:color w:val="auto"/>
        </w:rPr>
        <w:tab/>
      </w:r>
      <w:r>
        <w:rPr>
          <w:rFonts w:ascii="Times New Roman" w:cs="Times New Roman" w:eastAsia="Times New Roman" w:hAnsi="Times New Roman"/>
          <w:sz w:val="16"/>
          <w:szCs w:val="16"/>
          <w:b w:val="1"/>
          <w:bCs w:val="1"/>
          <w:color w:val="auto"/>
        </w:rPr>
        <w:t>Accumulated</w:t>
        <w:tab/>
        <w:t>Stockholders’</w:t>
      </w:r>
    </w:p>
    <w:p>
      <w:pPr>
        <w:spacing w:after="0" w:line="1" w:lineRule="exact"/>
        <w:rPr>
          <w:sz w:val="20"/>
          <w:szCs w:val="20"/>
          <w:color w:val="auto"/>
        </w:rPr>
      </w:pPr>
    </w:p>
    <w:p>
      <w:pPr>
        <w:ind w:left="380"/>
        <w:spacing w:after="0"/>
        <w:tabs>
          <w:tab w:leader="none" w:pos="1440" w:val="left"/>
          <w:tab w:leader="none" w:pos="2500" w:val="left"/>
        </w:tabs>
        <w:rPr>
          <w:sz w:val="20"/>
          <w:szCs w:val="20"/>
          <w:color w:val="auto"/>
        </w:rPr>
      </w:pPr>
      <w:r>
        <w:rPr>
          <w:rFonts w:ascii="Times New Roman" w:cs="Times New Roman" w:eastAsia="Times New Roman" w:hAnsi="Times New Roman"/>
          <w:sz w:val="16"/>
          <w:szCs w:val="16"/>
          <w:b w:val="1"/>
          <w:bCs w:val="1"/>
          <w:color w:val="auto"/>
        </w:rPr>
        <w:t>Loss</w:t>
      </w:r>
      <w:r>
        <w:rPr>
          <w:sz w:val="20"/>
          <w:szCs w:val="20"/>
          <w:color w:val="auto"/>
        </w:rPr>
        <w:tab/>
      </w:r>
      <w:r>
        <w:rPr>
          <w:rFonts w:ascii="Times New Roman" w:cs="Times New Roman" w:eastAsia="Times New Roman" w:hAnsi="Times New Roman"/>
          <w:sz w:val="16"/>
          <w:szCs w:val="16"/>
          <w:b w:val="1"/>
          <w:bCs w:val="1"/>
          <w:color w:val="auto"/>
        </w:rPr>
        <w:t>Deficit</w:t>
      </w:r>
      <w:r>
        <w:rPr>
          <w:sz w:val="20"/>
          <w:szCs w:val="20"/>
          <w:color w:val="auto"/>
        </w:rPr>
        <w:tab/>
      </w:r>
      <w:r>
        <w:rPr>
          <w:rFonts w:ascii="Times New Roman" w:cs="Times New Roman" w:eastAsia="Times New Roman" w:hAnsi="Times New Roman"/>
          <w:sz w:val="16"/>
          <w:szCs w:val="16"/>
          <w:b w:val="1"/>
          <w:bCs w:val="1"/>
          <w:color w:val="auto"/>
        </w:rPr>
        <w:t>Equity</w:t>
      </w:r>
    </w:p>
    <w:p>
      <w:pPr>
        <w:spacing w:after="0" w:line="22" w:lineRule="exact"/>
        <w:rPr>
          <w:sz w:val="20"/>
          <w:szCs w:val="20"/>
          <w:color w:val="auto"/>
        </w:rPr>
      </w:pPr>
    </w:p>
    <w:p>
      <w:pPr>
        <w:sectPr>
          <w:pgSz w:w="11900" w:h="16838" w:orient="portrait"/>
          <w:cols w:equalWidth="0" w:num="2">
            <w:col w:w="7680" w:space="220"/>
            <w:col w:w="3260"/>
          </w:cols>
          <w:pgMar w:left="360" w:top="1035" w:right="37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December 31, 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6,525,887</w:t>
            </w:r>
          </w:p>
        </w:tc>
        <w:tc>
          <w:tcPr>
            <w:tcW w:w="8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824,780</w:t>
            </w:r>
          </w:p>
        </w:tc>
        <w:tc>
          <w:tcPr>
            <w:tcW w:w="8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(655,116)</w:t>
            </w: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169,436</w:t>
            </w:r>
          </w:p>
        </w:tc>
      </w:tr>
      <w:tr>
        <w:trPr>
          <w:trHeight w:val="233"/>
        </w:trPr>
        <w:tc>
          <w:tcPr>
            <w:tcW w:w="4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Shares of common stock issued upon 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53"/>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w:t>
            </w:r>
          </w:p>
        </w:tc>
      </w:tr>
      <w:tr>
        <w:trPr>
          <w:trHeight w:val="233"/>
        </w:trPr>
        <w:tc>
          <w:tcPr>
            <w:tcW w:w="4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(28,200)</w:t>
            </w:r>
          </w:p>
        </w:tc>
      </w:tr>
      <w:tr>
        <w:trPr>
          <w:trHeight w:val="253"/>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 March 31,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6,558,927</w:t>
            </w:r>
          </w:p>
        </w:tc>
        <w:tc>
          <w:tcPr>
            <w:tcW w:w="8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828,679</w:t>
            </w:r>
          </w:p>
        </w:tc>
        <w:tc>
          <w:tcPr>
            <w:tcW w:w="8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(683,316)</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144,912</w:t>
            </w:r>
          </w:p>
        </w:tc>
      </w:tr>
      <w:tr>
        <w:trPr>
          <w:trHeight w:val="27"/>
        </w:trPr>
        <w:tc>
          <w:tcPr>
            <w:tcW w:w="470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035" w:right="379" w:bottom="1440" w:gutter="0" w:footer="0" w:header="0"/>
          <w:type w:val="continuous"/>
        </w:sectPr>
      </w:pPr>
    </w:p>
    <w:bookmarkStart w:id="5" w:name="page6"/>
    <w:bookmarkEnd w:id="5"/>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exchange remeasurement loss (gain)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r>
      <w:tr>
        <w:trPr>
          <w:trHeight w:val="243"/>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(accretion) on invested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on disposals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r>
      <w:tr>
        <w:trPr>
          <w:trHeight w:val="243"/>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rent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43"/>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(38,194)</w:t>
            </w:r>
          </w:p>
        </w:tc>
      </w:tr>
      <w:tr>
        <w:trPr>
          <w:trHeight w:val="243"/>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47,400</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received from held for sale assets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7"/>
        </w:trPr>
        <w:tc>
          <w:tcPr>
            <w:tcW w:w="8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 agreement closing costs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7"/>
        </w:trPr>
        <w:tc>
          <w:tcPr>
            <w:tcW w:w="8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r>
      <w:tr>
        <w:trPr>
          <w:trHeight w:val="23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16,326</w:t>
            </w:r>
          </w:p>
        </w:tc>
      </w:tr>
      <w:tr>
        <w:trPr>
          <w:trHeight w:val="27"/>
        </w:trPr>
        <w:tc>
          <w:tcPr>
            <w:tcW w:w="8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8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Instil Bio, Inc. (the “Company”) is a biotechnology company focused on identifying and advancing innovative therapeutic opportunities.</w:t>
      </w:r>
    </w:p>
    <w:p>
      <w:pPr>
        <w:spacing w:after="0" w:line="18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January 2026, the Company announced that its wholly owned subsidiary, Axion Bio, Inc. (“Axion Bio”), was discontinuing development of AXN-2510, its former lead product candidate. See Note 12 for further information.</w:t>
      </w:r>
    </w:p>
    <w:p>
      <w:pPr>
        <w:spacing w:after="0" w:line="135"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Company is actively seeking to in-license or acquire and develop additional novel therapeutic candidates in diseases with significant unmet medical need.</w:t>
      </w:r>
    </w:p>
    <w:p>
      <w:pPr>
        <w:spacing w:after="0" w:line="266" w:lineRule="exact"/>
        <w:rPr>
          <w:sz w:val="20"/>
          <w:szCs w:val="20"/>
          <w:color w:val="auto"/>
        </w:rPr>
      </w:pPr>
    </w:p>
    <w:p>
      <w:pPr>
        <w:ind w:left="440" w:right="7640" w:hanging="432"/>
        <w:spacing w:after="0" w:line="456" w:lineRule="auto"/>
        <w:tabs>
          <w:tab w:leader="none" w:pos="17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14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2026, the condensed consolidated statements of operations and comprehensive loss for the three months ended March 31, 2026 and 2025, the condensed consolidated statements of stockholders’ equity for the three months ended March 31, 2026 and 2025, and the results of its cash flows for the three months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any other periods, or any future year period. The Company has evaluated subsequent events through the date the condensed consolidated financial statements were issued.</w:t>
      </w:r>
    </w:p>
    <w:p>
      <w:pPr>
        <w:spacing w:after="0" w:line="15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financial statements and the related notes thereto included in the Company’s Annual Report on Form 10-K for the year ended December 31, 2025, as filed with the Securities and Exchange Commission (“SEC”) on March 27, 2026.</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02"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for which separate discrete financial information is available and that is regularly reviewed by the chief operating decision maker, the Company’s Chief Executive Officer, in deciding how to allocate resources to an individual segment and in assessing performance. The Company has determined it operates in a single operating segment and has one operating segment. See Note 3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Marketable Securities</w:t>
      </w:r>
    </w:p>
    <w:p>
      <w:pPr>
        <w:spacing w:after="0" w:line="18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Cash equivalents include amounts invested in money market accounts.</w:t>
      </w:r>
    </w:p>
    <w:p>
      <w:pPr>
        <w:spacing w:after="0" w:line="121" w:lineRule="exact"/>
        <w:rPr>
          <w:sz w:val="20"/>
          <w:szCs w:val="20"/>
          <w:color w:val="auto"/>
        </w:rPr>
      </w:pPr>
    </w:p>
    <w:p>
      <w:pPr>
        <w:ind w:right="40" w:firstLine="405"/>
        <w:spacing w:after="0"/>
        <w:rPr>
          <w:sz w:val="20"/>
          <w:szCs w:val="20"/>
          <w:color w:val="auto"/>
        </w:rPr>
      </w:pPr>
      <w:r>
        <w:rPr>
          <w:rFonts w:ascii="Times New Roman" w:cs="Times New Roman" w:eastAsia="Times New Roman" w:hAnsi="Times New Roman"/>
          <w:sz w:val="18"/>
          <w:szCs w:val="18"/>
          <w:color w:val="auto"/>
        </w:rPr>
        <w:t>As of March 31, 2026, restricted cash consisted of a cash reserve allocated to future tax payments related to the 2024 Loan (as defined in Note 8) and credit card collateral. As of December 31, 2025, restricted cash consisted solely of a cash reserve allocated to future tax payments related to the 2024 Loan. There was $0.1 million and $0.2 million in restricted cash as of March 31, 2026 and December 31, 2025, respectively, on the Company’s condensed consolidated balance sheets.</w:t>
      </w:r>
    </w:p>
    <w:p>
      <w:pPr>
        <w:spacing w:after="0" w:line="17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Company’s investments in marketable securities have been classified and accounted for as available-for-sale. The Company classifies its maturities as either short-term or long-term based on each instrument’s underlying contractual maturity date, which are carried at their fair values based on the quoted market prices of the securities. Unrealized gains and losses are reported as accumulated other comprehensive income (loss). Realized gains and losses on available-for-sale securities are included in net loss in the period earned or incurred. As of March 31, 2026 and December 31, 2025, marketable securities consisted of U.S. Treasury bills.</w:t>
      </w:r>
    </w:p>
    <w:p>
      <w:pPr>
        <w:spacing w:after="0" w:line="14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whether its securities may be other-than-temporarily impaired, including whether or not (i) the Company has the intent to sell the security or (ii) it is more likely than not that the Company will be required to sell the security before its anticipated recovery. If one of these factors is met, the Company will record an impairment loss associated with its impaired investment. The impairment loss will be recorded as a write-down of investments in the condensed consolidated balance sheets and a realized loss within other expense in the condensed consolidated statements of operations and comprehensive loss. As of March 31, 2026 and December 31, 2025, there were no impairment losses for the investments.</w:t>
      </w:r>
    </w:p>
    <w:p>
      <w:pPr>
        <w:spacing w:after="0" w:line="143" w:lineRule="exact"/>
        <w:rPr>
          <w:sz w:val="20"/>
          <w:szCs w:val="20"/>
          <w:color w:val="auto"/>
        </w:rPr>
      </w:pPr>
    </w:p>
    <w:p>
      <w:pPr>
        <w:ind w:right="120" w:firstLine="405"/>
        <w:spacing w:after="0" w:line="279"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amounts shown in the condensed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8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68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9"/>
        </w:trPr>
        <w:tc>
          <w:tcPr>
            <w:tcW w:w="6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5,145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02"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Management evaluated the Company’s ability to continue as a going concern for the twelve months following the issuance of the condensed consolidated financial statements. As disclosed and defined in Note 8, the 2024 Loan is due in January 2027, for total principal of $85.6 million, which is in excess of cash, cash equivalents, and marketable securities on hand as of March 31, 2026, which management has concluded is an indicator of substantial doubt about the Company’s ability to continue as a going concern.</w:t>
      </w:r>
    </w:p>
    <w:p>
      <w:pPr>
        <w:spacing w:after="0" w:line="14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plans to cause Complex Therapeutics LLC, a wholly owned subsidiary of the Company, to execute its contractual right to extend the maturity of the 2024 Loan to January 2028. In addition, the Company may seek to cause Complex Therapeutics LLC to refinance or restructure the 2024 Loan, sell the Tarzana facility to repay the 2024 Loan, or seek additional financing in the form of equity or debt instruments. There can be no assurance that new financing or other forms of funding will be available on favorable terms or at all. The Company concluded that management's plans, including Complex Therapeutics LLC’s contractual right to exercise the extension option to January 2028, which is within Complex Therapeutics LLC’s control, alleviate the conditions that raise substantial doubt about the Company’s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8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Company classifies long-lived assets or disposal groups to be sold as held for sale in the period in which all of the following criteria are met: management, having the authority to approve the action, commits to a plan to sell the asset or disposal group; the asset or disposal group is available for immediate sale in its present condition subject only to terms that are usual and customary for sales of such assets or disposal group; 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 and actions required to complete the plan to sell have been initiated.</w:t>
      </w:r>
    </w:p>
    <w:p>
      <w:pPr>
        <w:spacing w:after="0" w:line="16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Company initially measures a long-lived asset or disposal group that is held for sale at the lower of its carrying value or fair value less any costs to sell. Fair value is estimated by the Company through evaluations of quoted market prices received for other comparable held for sale assets sold by the Company. Any loss resulting from this measurement is recognized in the period in which the held for sale criteria are met. Conversely, gains are not recognized on the sale of a long-lived asset or disposal group until the date of sale. The Company assesses the fair value of a long-lived asset or disposal group less any costs to sell each reporting period it remains classified as held for sale and reports any subsequent changes as an adjustment to the carrying value of the asset or disposal group, as long as the new carrying value does not exceed the carrying value of the asset at the time it was initially classified as held for sale. Upon determining that a long-lived asset or disposal group meets the criteria to be classified as held for sale, the Company ceases depreciation and reports long-lived assets in the line item “assets held for sale” in its condensed consolidated balance sheets.</w:t>
      </w:r>
    </w:p>
    <w:p>
      <w:pPr>
        <w:spacing w:after="0" w:line="15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March 2025, the Company’s board of directors (the “Board of Directors”) approved a plan to sell the Tarzana facility. The Company engaged a broker to facilitate a potential sale of the Tarzana facility and therefore reclassified the land and building as held for sale in the condensed consolidated balance sheet during the year ended December 31, 2025. The Tarzana facility is currently leased to AstraZeneca Pharmaceuticals LP (“Tenant”) and Tenant has a right of first offer to purchase it. Refer to Note 8.</w:t>
      </w:r>
    </w:p>
    <w:p>
      <w:pPr>
        <w:spacing w:after="0" w:line="13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May 2026, the Company determined that there had been a change to its plan with respect to the Tarzana facility and the Board of Directors approved discontinuing the plan to market the Tarzana facility for sale. As a result, the Company determined that this asset no longer meets the criteria to be classified as held for sale under ASC 360. Consequently, in the second quarter of 2026, this asset will be reclassified as held and used at the lower of (a) its carrying amount before the asset was classified as held for sale, adjusted for depreciation expenses that would have been recognized had the asset been continuously classified as held and used, and (b) its fair value. The Company is currently evaluating the financial statement impact of this reclassification. The resulting adjustment will be recognized in the second quarter in the condensed consolidated statement of operations and comprehensive loss as a component of gain (loss) from operations.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fair value less the cost to sell of the Tarzana facility was $112.1 million on the Company’s condensed consolidated balance sheets as of March 31,</w:t>
      </w:r>
    </w:p>
    <w:p>
      <w:pPr>
        <w:spacing w:after="0" w:line="27"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18"/>
          <w:szCs w:val="18"/>
          <w:color w:val="auto"/>
        </w:rPr>
        <w:t>2026 and December 31, 2025. During the three months ended March 31, 2026, the Company concluded that no impairment indicators were present and recorded no impairment charge. The Company recorded building impairments related to the Tarzana facility of nil and $16.6 million during the three months ended March 31, 2026 and 2025, respectively. Refer to Note 12.</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or that the useful life is shorter than originally estimated. Recoverability of assets is measured by comparing the carrying amount of an asset to future undiscounted net cash flows expected to be generated by the asset over its remaining useful life. If such assets are impaired, the impairment recognized is measured by the amount by which the carrying amount of the assets exceeds the fair value of the assets. If the useful life is shorter than originally estimated, the Company depreciates or amortizes the remaining carrying value over the revised shorter useful life. See Note 12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third parties under research and development arrangements or license agreements, the milestone payment obligations are expensed when the milestone results are achieved.</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89"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Statement-Reporting Comprehensive Income-Expense Disaggregation Disclosures (Subtopic 220-40) (“ASU 2024-03”). The amendments in this update require disclosure, in the notes to the financial statements, of specific expense categories present within expense captions presented on the face of the income statement within continuing operations of public business entities. The amendments in this update are effective for annual periods beginning after December 15, 2026 and interim periods beginning after December 15, 2027. The Company is currently evaluating the impact of ASU 2024-03 on its consolidated financial statements and related disclosures.</w:t>
      </w:r>
    </w:p>
    <w:p>
      <w:pPr>
        <w:spacing w:after="0" w:line="133" w:lineRule="exact"/>
        <w:rPr>
          <w:sz w:val="20"/>
          <w:szCs w:val="20"/>
          <w:color w:val="auto"/>
        </w:rPr>
      </w:pPr>
    </w:p>
    <w:p>
      <w:pPr>
        <w:ind w:right="20" w:firstLine="405"/>
        <w:spacing w:after="0"/>
        <w:rPr>
          <w:sz w:val="20"/>
          <w:szCs w:val="20"/>
          <w:color w:val="auto"/>
        </w:rPr>
      </w:pPr>
      <w:r>
        <w:rPr>
          <w:rFonts w:ascii="Times New Roman" w:cs="Times New Roman" w:eastAsia="Times New Roman" w:hAnsi="Times New Roman"/>
          <w:sz w:val="18"/>
          <w:szCs w:val="18"/>
          <w:color w:val="auto"/>
        </w:rPr>
        <w:t>In September 2025, the FASB issued ASU No. 2025-07, Derivatives and Hedging and Revenue from Contracts with Customers - Derivatives Scope Refinements and Scope Clarification for Share-Based Noncash Consideration from a Customer in a Revenue Contract (“ASU 2025-07”) which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reporting periods within those annual reporting periods. Early adoption is permitted. The Company does not expect adoption of ASU 2025-07 to have a material impact on its condensed consolidated financial statements and related disclosures.</w:t>
      </w:r>
    </w:p>
    <w:p>
      <w:pPr>
        <w:spacing w:after="0" w:line="15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being studied by standard-setting organizations and certain regulatory agencies. Because of the tentative and preliminary nature of such proposed standards, the Company has not yet determined the effect, if any, that the implementation of such proposed standards would have on the Company’s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202"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has one reportable segment relating to the research and development of novel therapies. The Chief Executive Officer, who serves as the Company’s chief operating decision maker (“CODM”), is responsible for the overall supervision, direction, and management of the business and its officers.</w:t>
      </w:r>
    </w:p>
    <w:p>
      <w:pPr>
        <w:spacing w:after="0" w:line="135"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CODM reviews net loss, as reported in the condensed consolidated statements of operations and comprehensive loss, as well as the progress of the Company’s program(s). The CODM does not review assets in evaluating the results of the segment, and therefore, such information is not presented. All long-lived assets owned by the Company are located in the United States. The accounting policies of the segment are the same as those described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67" w:lineRule="exact"/>
        <w:rPr>
          <w:sz w:val="20"/>
          <w:szCs w:val="20"/>
          <w:color w:val="auto"/>
        </w:rPr>
      </w:pPr>
    </w:p>
    <w:p>
      <w:pPr>
        <w:ind w:right="40" w:firstLine="405"/>
        <w:spacing w:after="0" w:line="279" w:lineRule="auto"/>
        <w:rPr>
          <w:sz w:val="20"/>
          <w:szCs w:val="20"/>
          <w:color w:val="auto"/>
        </w:rPr>
      </w:pPr>
      <w:r>
        <w:rPr>
          <w:rFonts w:ascii="Times New Roman" w:cs="Times New Roman" w:eastAsia="Times New Roman" w:hAnsi="Times New Roman"/>
          <w:sz w:val="18"/>
          <w:szCs w:val="18"/>
          <w:color w:val="auto"/>
        </w:rPr>
        <w:t>The following table is a summary of the segment and consolidated net loss, including significant segment expenses for the three months ended March 31, 2026 and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6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spacing w:after="0"/>
              <w:rPr>
                <w:sz w:val="20"/>
                <w:szCs w:val="20"/>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AXN-2510</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program expenses</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7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14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r>
      <w:tr>
        <w:trPr>
          <w:trHeight w:val="27"/>
        </w:trPr>
        <w:tc>
          <w:tcPr>
            <w:tcW w:w="6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7"/>
        </w:trPr>
        <w:tc>
          <w:tcPr>
            <w:tcW w:w="6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contract termination</w:t>
            </w:r>
          </w:p>
        </w:tc>
        <w:tc>
          <w:tcPr>
            <w:tcW w:w="1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37"/>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144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w:t>
            </w:r>
          </w:p>
        </w:tc>
      </w:tr>
      <w:tr>
        <w:trPr>
          <w:trHeight w:val="27"/>
        </w:trPr>
        <w:tc>
          <w:tcPr>
            <w:tcW w:w="68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
        </w:trPr>
        <w:tc>
          <w:tcPr>
            <w:tcW w:w="6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w:t>
      </w:r>
    </w:p>
    <w:p>
      <w:pPr>
        <w:spacing w:after="0" w:line="10"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program expenses consist of costs related to the Company’s past development of its CoStAR-TIL technology.</w:t>
      </w:r>
    </w:p>
    <w:p>
      <w:pPr>
        <w:spacing w:after="0" w:line="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is removed from “General and administrative” and is disclosed separately.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Prepaid and other current assets</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general and administrative</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6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Tax-related receivable</w:t>
            </w:r>
          </w:p>
        </w:tc>
        <w:tc>
          <w:tcPr>
            <w:tcW w:w="16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contract research organization expenses</w:t>
            </w:r>
          </w:p>
        </w:tc>
        <w:tc>
          <w:tcPr>
            <w:tcW w:w="16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7"/>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1680" w:type="dxa"/>
            <w:vAlign w:val="bottom"/>
            <w:tcBorders>
              <w:top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20" w:type="dxa"/>
            <w:vAlign w:val="bottom"/>
            <w:vMerge w:val="continue"/>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8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computer equipment</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Depreciation expense was nil and $0.5 million for the three months ended March 31, 2026 and 2025, respectively, in the condensed consolidated statements of operations and comprehensive loss. In March 2025, the Tarzana facility was classified as held for sale, and accordingly, depreciation ceased upon such classification.</w:t>
      </w:r>
    </w:p>
    <w:p>
      <w:pPr>
        <w:spacing w:after="0" w:line="13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$112.1 million in assets related to the Tarzana facility on the condensed consolidated balance sheet meeting the criteria of held for sale assets. These assets are recognized at the lower of cost or fair value less costs to sell. The Company estimates the fair value of its Tarzana facility through a combination of an income-based approach and a market-based approach. The income-based approach is dependent on specific assumptions such as market rental rates, capitalization rates and discount rates. The market-based approach utilizes observable data such as comparable building sales. The fair value of these assets are classified as Level 3 in the fair value hierarchy due to a mix of unobservable inputs utilized such as proprietary independent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1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research in the market as well as actual quotes from market participants. As a result, the Company recognized an impairment of long-lived assets held for sale of nil and $16.6 million related to the building and land during the three months ended March 31, 2026 and 2025,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8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operational expenses</w:t>
            </w:r>
          </w:p>
        </w:tc>
        <w:tc>
          <w:tcPr>
            <w:tcW w:w="16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6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development and clinical trial expenses</w:t>
            </w:r>
          </w:p>
        </w:tc>
        <w:tc>
          <w:tcPr>
            <w:tcW w:w="16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7"/>
        </w:trPr>
        <w:tc>
          <w:tcPr>
            <w:tcW w:w="6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7"/>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80" w:type="dxa"/>
            <w:vAlign w:val="bottom"/>
            <w:tcBorders>
              <w:top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7"/>
        </w:trPr>
        <w:tc>
          <w:tcPr>
            <w:tcW w:w="68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18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prepaid expenses, accounts payable and accrued expenses approximate their fair values due to the short-term nature of these instruments. Cash and cash equivalents consist primarily of cash and highly liquid investments with original maturities of three months or less at the time of purchase; accordingly, their carrying amounts approximate fair value. Cash and cash equivalents are valued based upon quoted market prices in active markets for identical assets and are therefore classified as Level 1 assets. Money market funds are open-end mutual funds that invest in cash, government securities, and/or repurchase agreements that are collateralized fully. To the extent that these funds are valued based upon the reported net asset value, they are categorized in Level 1 of the fair value hierarchy.</w:t>
      </w:r>
    </w:p>
    <w:p>
      <w:pPr>
        <w:spacing w:after="0" w:line="160"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Short-term marketable securities consisted of U.S. Treasury bills that are classified within Level 2 of the fair value hierarchy are valued based on other observable inputs, including broker or dealer quotations, alternative pricing sources or U.S. Government Treasury yield of appropriate term.</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and nonrecurring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4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69,549</w:t>
            </w:r>
          </w:p>
        </w:tc>
      </w:tr>
      <w:tr>
        <w:trPr>
          <w:trHeight w:val="263"/>
        </w:trPr>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69,549</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69,919</w:t>
            </w:r>
          </w:p>
        </w:tc>
      </w:tr>
      <w:tr>
        <w:trPr>
          <w:trHeight w:val="20"/>
        </w:trPr>
        <w:tc>
          <w:tcPr>
            <w:tcW w:w="4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7"/>
        </w:trPr>
        <w:tc>
          <w:tcPr>
            <w:tcW w:w="4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r>
      <w:tr>
        <w:trPr>
          <w:trHeight w:val="263"/>
        </w:trPr>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73,830</w:t>
            </w:r>
          </w:p>
        </w:tc>
      </w:tr>
      <w:tr>
        <w:trPr>
          <w:trHeight w:val="21"/>
        </w:trPr>
        <w:tc>
          <w:tcPr>
            <w:tcW w:w="4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67"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 1, 2 and 3 measurements for the three months ended March 31, 2026 and the year ended December 31, 2025. As of March 31, 2026 and December 31, 2025, there were no securities within Level 3 of the fair value hierarchy.</w:t>
      </w:r>
    </w:p>
    <w:p>
      <w:pPr>
        <w:spacing w:after="0" w:line="121"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fair value of the 2024 Loan (as defined in Note 8) was $85.6 million and $85.5 million, respectively. The fair value was determined on the basis of its net present value and is considered Level 2 in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Financial Instruments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Marketable securities classified as available-for-sale as of March 31, 2026 and December 31, 2025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12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2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2120" w:type="dxa"/>
            <w:vAlign w:val="bottom"/>
          </w:tcPr>
          <w:p>
            <w:pPr>
              <w:spacing w:after="0"/>
              <w:rPr>
                <w:sz w:val="20"/>
                <w:szCs w:val="20"/>
                <w:color w:val="auto"/>
              </w:rPr>
            </w:pPr>
          </w:p>
        </w:tc>
        <w:tc>
          <w:tcPr>
            <w:tcW w:w="23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6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2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69,549</w:t>
            </w:r>
          </w:p>
        </w:tc>
      </w:tr>
      <w:tr>
        <w:trPr>
          <w:trHeight w:val="540"/>
        </w:trPr>
        <w:tc>
          <w:tcPr>
            <w:tcW w:w="2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212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2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2120" w:type="dxa"/>
            <w:vAlign w:val="bottom"/>
          </w:tcPr>
          <w:p>
            <w:pPr>
              <w:spacing w:after="0"/>
              <w:rPr>
                <w:sz w:val="20"/>
                <w:szCs w:val="20"/>
                <w:color w:val="auto"/>
              </w:rPr>
            </w:pPr>
          </w:p>
        </w:tc>
        <w:tc>
          <w:tcPr>
            <w:tcW w:w="23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6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2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r>
      <w:tr>
        <w:trPr>
          <w:trHeight w:val="27"/>
        </w:trPr>
        <w:tc>
          <w:tcPr>
            <w:tcW w:w="212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ind w:right="480" w:firstLine="405"/>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marketable securities that had contractual maturities less than one year are classified as current because management considers these marketable securities to be available for current operations. The Company does not intend to sell its marketable securities and it is not likely that the Company will be required to sell these securities before recovery of their amortized cost basis. There were $69.5 million of marketable securities classified as available-for-sale as of March 31, 2026 and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 with ImmuneOnco</w:t>
      </w:r>
    </w:p>
    <w:p>
      <w:pPr>
        <w:spacing w:after="0" w:line="18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August 1, 2024, Axion Bio entered into a license and collaboration agreement (the “IO Collaboration Agreement”) with ImmuneOnco Biopharmaceuticals (Shanghai) Inc. (“ImmuneOnco”), under which it in-licensed several bispecific antibodies, including AXN-2510 and AXN-27M. As part of the IO Collaboration Agreement, Axion Bio made a $10.0 million upfront payment to ImmuneOnco during the year ended December 31, 2024. This amount was fully expensed as in-process research and development (IPR&amp;D) in the same year.</w:t>
      </w:r>
    </w:p>
    <w:p>
      <w:pPr>
        <w:spacing w:after="0" w:line="153"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Axion Bio made a $5.0 million prepayment to ImmuneOnco for development costs, which was fully recognized as research and development expense by March 31, 2025. In April 2025, Axion Bio made a second $5.0 million prepayment to ImmuneOnco for development costs, which was fully recognized as research and development expense by September 30, 2025. In August 2025, Axion Bio made a third $5.0 million prepayment to ImmuneOnco for development costs, which was fully recognized as research and development expense by the three months ended March 31, 2026.</w:t>
      </w:r>
    </w:p>
    <w:p>
      <w:pPr>
        <w:spacing w:after="0" w:line="143"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In June 2025, Axion Bio achieved Investigational New Drug (IND) clearance in the United States for a Phase 1 trial of AXN-2510 in relapsed/refractory solid tumors. This milestone triggered a $10.0 million development payment to ImmuneOnco, which was paid in July 2025. This amount was fully expensed as IPR&amp;D during the second quarter of 2025.</w:t>
      </w:r>
    </w:p>
    <w:p>
      <w:pPr>
        <w:spacing w:after="0" w:line="135"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expenses recognized in connection with the IO Collaboration Agreement were $0.3 million and $4.3 million for the three months ended March 31, 2026 and 2025, respectively, and were recorded as a component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6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on the condensed consolidated statements of operations and comprehensive loss. As of March 31, 2026, no additional milestones were accrued.</w:t>
      </w:r>
    </w:p>
    <w:p>
      <w:pPr>
        <w:spacing w:after="0" w:line="121"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On January 5, 2026, Axion Bio and ImmuneOnco entered into an agreement terminating the IO Collaboration Agreement. Under the termination agreement, Axion Bio agreed to transfer the rights, title, and interest related to AXN-2510 and AXN-27M to ImmuneOnco, and ImmuneOnco agreed to pay Axion Bio $1.8 million, of which $1.6 million was received during the quarter ended March 31, 2026 and recorded as other income as a gain on contract termination in the condensed consolidated statements of operations and comprehensive loss. Receipt of the remaining $0.2 million is contingent upon the completion of specified wind-down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Company as a Lessee: Operating Lease Obligations</w:t>
      </w:r>
    </w:p>
    <w:p>
      <w:pPr>
        <w:spacing w:after="0" w:line="18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Company currently leases office spaces and laboratory spaces located in Dallas, Texas, and Alderley Park in the United Kingdom. During April 2025, the Company terminated its prior lease in Thousand Oaks, California. The Company’s leased facilities have original lease terms ranging from 2 to 5 years that in general require the Company to provide a security deposit. Certain leases provide the right for the Company to renew the lease upon the expiration of the initial lease term, and various leases have scheduled rent increases on an annual basis. The exercise of lease renewal options for the Company’s existing leases is at the Company’s sole discretion, and not included in the measurement of right-of-use asset or lease liability as they are not reasonably certain to be exercised.</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lease costs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4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54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4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54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9"/>
        </w:trPr>
        <w:tc>
          <w:tcPr>
            <w:tcW w:w="5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lease cost</w:t>
            </w:r>
          </w:p>
        </w:tc>
        <w:tc>
          <w:tcPr>
            <w:tcW w:w="164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cash flow information related to the Company’s lease obligations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4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54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7"/>
        </w:trPr>
        <w:tc>
          <w:tcPr>
            <w:tcW w:w="5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lease assets and liabilities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54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80" w:type="dxa"/>
            <w:vAlign w:val="bottom"/>
            <w:tcBorders>
              <w:bottom w:val="single" w:sz="8" w:color="CCEEFF"/>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related to the Company’s lease obligations: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2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52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67"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Subsequent to March 31, 2026, the Company extended its lease in Dallas to April 2031, which was originally set to expire in April 2026. The Alderley Park leases in the United Kingdom are set to expire in November 2026.</w:t>
      </w:r>
    </w:p>
    <w:p>
      <w:pPr>
        <w:spacing w:after="0" w:line="12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future minimum lease payments under operating lease liabilities were $0.2 million, excluding any future payments associated with the Dallas lease extension.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lease liabilities are recorded in the line item “accrued expenses and other current liabilities” in the condensed consolidated balance sheet.</w:t>
      </w:r>
    </w:p>
    <w:p>
      <w:pPr>
        <w:spacing w:after="0" w:line="18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Company as a Lessor: Tarzana Facility Lease with AstraZeneca</w:t>
      </w:r>
    </w:p>
    <w:p>
      <w:pPr>
        <w:spacing w:after="0" w:line="189"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On July 10, 2024, Complex Therapeutics LLC, a wholly owned subsidiary of the Company, entered into a lease with AstraZeneca Pharmaceuticals LP pursuant to which Tenant is leasing the facility located in Tarzana, California (the “Lease”). The Lease has an initial term of approximately 15 years, beginning on July 10, 2024 and ending on July 31, 2039, with Tenant having two consecutive options to extend the term for a five-year period each and a one-time option to terminate the Lease on the tenth anniversary of the commencement of the Lease, which, if exercised, obligates Tenant to pay Complex Therapeutics LLC a termination fee. The initial base rent was approximately $0.6 million per month (approximately $7.5 million annually) and the base rent escalates by 3% per annum. Tenant is also required to pay certain operating expenses and tax expenses as additional rent. There was rent abatement during the first year of the Lease such that Tenant paid no rent or reduced rent during this period. Tenant also has a right of first offer to purchase the premises that are subject to the Lease.</w:t>
      </w:r>
    </w:p>
    <w:p>
      <w:pPr>
        <w:spacing w:after="0" w:line="165"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The Lease is classified as an operating lease and revenue is recognized on a straight-line basis and is recorded within the condensed consolidated statements of operations and comprehensive loss in the line item “Other rental income” as this is not a part of the Company’s core operations. Rental income related to the Lease was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3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 related to fixed lease income</w:t>
            </w:r>
          </w:p>
        </w:tc>
        <w:tc>
          <w:tcPr>
            <w:tcW w:w="168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7"/>
        </w:trPr>
        <w:tc>
          <w:tcPr>
            <w:tcW w:w="53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700" w:firstLine="405"/>
        <w:spacing w:after="0" w:line="279" w:lineRule="auto"/>
        <w:rPr>
          <w:sz w:val="20"/>
          <w:szCs w:val="20"/>
          <w:color w:val="auto"/>
        </w:rPr>
      </w:pPr>
      <w:r>
        <w:rPr>
          <w:rFonts w:ascii="Times New Roman" w:cs="Times New Roman" w:eastAsia="Times New Roman" w:hAnsi="Times New Roman"/>
          <w:sz w:val="18"/>
          <w:szCs w:val="18"/>
          <w:color w:val="auto"/>
        </w:rPr>
        <w:t>Approximate future straight-lined contractual lease income to be recognized under the Lease in effect as of March 31, 2026,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7"/>
        </w:trPr>
        <w:tc>
          <w:tcPr>
            <w:tcW w:w="9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6,726</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8,968</w:t>
            </w:r>
          </w:p>
        </w:tc>
      </w:tr>
      <w:tr>
        <w:trPr>
          <w:trHeight w:val="27"/>
        </w:trPr>
        <w:tc>
          <w:tcPr>
            <w:tcW w:w="9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8,968</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8,968</w:t>
            </w:r>
          </w:p>
        </w:tc>
      </w:tr>
      <w:tr>
        <w:trPr>
          <w:trHeight w:val="27"/>
        </w:trPr>
        <w:tc>
          <w:tcPr>
            <w:tcW w:w="9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8,968</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76,973</w:t>
            </w:r>
          </w:p>
        </w:tc>
      </w:tr>
      <w:tr>
        <w:trPr>
          <w:trHeight w:val="27"/>
        </w:trPr>
        <w:tc>
          <w:tcPr>
            <w:tcW w:w="9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9"/>
        </w:trPr>
        <w:tc>
          <w:tcPr>
            <w:tcW w:w="9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119,571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Differences between rental income earned and amounts due per the Lease are capitalized or charged, as applicable, to accrued rent receivable. As of March 31, 2026 and December 31, 2025, the Company had accrued rent receivable of $8.0 million and $7.7 million, respectively.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 Company does not expect that the resolution of these matters will have a material adverse effect on its financial position, results of operations or cash flows.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89"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In June 2022, the Company’s wholly owned subsidiaries Complex Therapeutics Mezzanine LLC and Complex Therapeutics LLC entered into a mortgage construction loan and mezzanine construction loan (together, the “Construction Loans”) secured by Complex Therapeutic LLC’s Tarzana, California land and building. The initial principal amount of the Construction Loans was $52.1 million, with additional future principal of up to $32.9 million to fund ongoing construction costs.</w:t>
      </w:r>
    </w:p>
    <w:p>
      <w:pPr>
        <w:spacing w:after="0" w:line="153"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On December 20, 2024 (the “Closing Date”), Complex Therapeutics LLC entered into a Term Loan Agreement (the “2024 Loan”) and related loan documents with Midland National Life Insurance Company (“Lender”), pursuant to which Lender loaned Complex Therapeutics LLC a term loan in the principal amount of $85.6 million to refinance the Construction Loans. Substantially all of the 2024 Loan proceeds were used to repay in full the Construction Loans. As of both March 31, 2026 and December 31, 2025, the outstanding principal amount under the 2024 Loan was $85.6 million. Unamortized debt issuance costs were $0.6 million and $0.8 million as of March 31, 2026 and December 31, 2025, respectively.</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2024 Loan has a term of two years with a one-year extension option. The extension option is subject to certain conditions being met, including:</w:t>
      </w:r>
    </w:p>
    <w:p>
      <w:pPr>
        <w:spacing w:after="0" w:line="27" w:lineRule="exact"/>
        <w:rPr>
          <w:sz w:val="20"/>
          <w:szCs w:val="20"/>
          <w:color w:val="auto"/>
        </w:rPr>
      </w:pPr>
    </w:p>
    <w:p>
      <w:pPr>
        <w:ind w:right="400" w:firstLine="8"/>
        <w:spacing w:after="0" w:line="253"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potential default or event of default, (b) payment of a 0.35% extension fee and the costs and expenses of Lender incurred in connection with the extension, (c) replenishing of all reserve funds as reasonably determined by Lender, and (d) compliance with minimum debt yield and debt service coverage ratio requirements. The 2024 Loan bears interest at a fixed rate of 6.35% per annum, with interest-only payments during the term and the principal balance due in full at maturity.</w:t>
      </w:r>
    </w:p>
    <w:p>
      <w:pPr>
        <w:spacing w:after="0" w:line="14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2024 Loan may be prepaid in whole but not in part. If the 2024 Loan is prepaid on or prior to the 12-month anniversary of the Closing Date, a prepayment fee is required (other than in connection with a casualty or condemnation event) to make Lender whole for the interest it would have otherwise earned on the 2024 Loan during the first 12 months. There is no prepayment fee due if the 2024 Loan is prepaid after the 12-month anniversary of the Closing Date.</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2024 Loan was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53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180" w:type="dxa"/>
            <w:vAlign w:val="bottom"/>
            <w:tcBorders>
              <w:bottom w:val="single" w:sz="8" w:color="CCEEFF"/>
            </w:tcBorders>
            <w:shd w:val="clear" w:color="auto" w:fill="CCEEFF"/>
          </w:tcPr>
          <w:p>
            <w:pPr>
              <w:jc w:val="right"/>
              <w:ind w:right="19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85,600</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2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7"/>
        </w:trPr>
        <w:tc>
          <w:tcPr>
            <w:tcW w:w="53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89"/>
        </w:trPr>
        <w:tc>
          <w:tcPr>
            <w:tcW w:w="5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carrying amount</w:t>
            </w:r>
          </w:p>
        </w:tc>
        <w:tc>
          <w:tcPr>
            <w:tcW w:w="2180" w:type="dxa"/>
            <w:vAlign w:val="bottom"/>
            <w:tcBorders>
              <w:bottom w:val="single" w:sz="8" w:color="CCEEFF"/>
            </w:tcBorders>
            <w:shd w:val="clear" w:color="auto" w:fill="CCEEFF"/>
          </w:tcPr>
          <w:p>
            <w:pPr>
              <w:jc w:val="right"/>
              <w:ind w:right="19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2024 Loan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6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5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8"/>
        </w:trPr>
        <w:tc>
          <w:tcPr>
            <w:tcW w:w="5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interest expense related to the 2024 Loan</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No liability associated with such indemnifications was recorded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various purchase agreements and commitments with third-party vendors for clinical research services, products and other services for operating purposes. These agreements generally provide for termination or cancellation at the Company’s option, other than for costs already incurred.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$0.2 million in commitments for contract terminations as part of the Plan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also entitled to receive dividends out of legally available funds when and if declared by the Company’s Board of Directors, subject to the rights of holders of any classes of stock outstanding having priority rights as to dividends. No cash dividends have been declared by the Board of Directors from inception.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6,781,976 shares of common stock outstanding.</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85" w:lineRule="exact"/>
        <w:rPr>
          <w:sz w:val="20"/>
          <w:szCs w:val="20"/>
          <w:color w:val="auto"/>
        </w:rPr>
      </w:pPr>
    </w:p>
    <w:p>
      <w:pPr>
        <w:ind w:firstLine="405"/>
        <w:spacing w:after="0" w:line="236" w:lineRule="auto"/>
        <w:rPr>
          <w:sz w:val="20"/>
          <w:szCs w:val="20"/>
          <w:color w:val="auto"/>
        </w:rPr>
      </w:pPr>
      <w:r>
        <w:rPr>
          <w:rFonts w:ascii="Times New Roman" w:cs="Times New Roman" w:eastAsia="Times New Roman" w:hAnsi="Times New Roman"/>
          <w:sz w:val="18"/>
          <w:szCs w:val="18"/>
          <w:color w:val="auto"/>
        </w:rPr>
        <w:t>In March 2025, the Company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with Jefferies LLC (“Jefferies”) pursuant to which the Company may, subject to the terms and conditions set forth in the agreement, offer and sell, from time to time, through or to Jefferies, acting as agent or principal, shares of common stock having an aggregate offering price of up to $100.0 million in one or more “at the market offerings” (the “ATM Program”).</w:t>
      </w:r>
    </w:p>
    <w:p>
      <w:pPr>
        <w:spacing w:after="0" w:line="16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sold 185,837 shares of common stock under the ATM Program at a weighted-average price of $37.13 per share, for net proceeds of $6.6 million, after deducting commissions and expenses of approximately $0.3 million. The remaining availability under the ATM Program as of both December 31, 2025 and March 31, 2026 was approximately $93.1 million. There were no sales under the ATM Program during the three months ended March 31, 2026.</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Company’s current amended and restated certificate of incorporation authorizes the Company to issue up to 10,000,000 shares of preferred stock at $0.000001 par value per share. The Board of Directors is authorized to provide for the issuance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subsequent resolution or resolutions adopted by the board providing for the issuance of such shares. As of March 31, 2026 and December 31, 2025, there were no shares of preferred stock issued or outstanding.</w:t>
      </w:r>
    </w:p>
    <w:p>
      <w:pPr>
        <w:spacing w:after="0" w:line="291" w:lineRule="exact"/>
        <w:rPr>
          <w:sz w:val="20"/>
          <w:szCs w:val="20"/>
          <w:color w:val="auto"/>
        </w:rPr>
      </w:pPr>
    </w:p>
    <w:p>
      <w:pPr>
        <w:jc w:val="right"/>
        <w:ind w:left="420" w:right="8800" w:hanging="412"/>
        <w:spacing w:after="0" w:line="491" w:lineRule="auto"/>
        <w:tabs>
          <w:tab w:leader="none" w:pos="28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2021 Equity Incentive Plan</w:t>
      </w:r>
    </w:p>
    <w:p>
      <w:pPr>
        <w:spacing w:after="0" w:line="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In March 2021, the Company adopted the 2021 Equity Incentive Plan (the “2021 Plan”), which became effective in connection with the Company’s initial public offering (“IPO”). The 2021 Plan was approved by the Board of Directors and stockholders in March 2021. The 2021 Plan is an equity incentive plan pursuant to which the Company may grant the following awards: (i) incentive stock options; (ii) nonstatutory stock options; (iii) stock appreciation rights; (iv) restricted stock awards; (v) restricted stock unit awards; (vi) performance awards; and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forms of stock awards to employees, directors, and consultants, including employees and consultants of the Company’s affiliates. The 2021 Plan is a successor to the Company’s 2018 Stock Incentive Plan (the “2018 Plan”). Following the effectiveness of the 2021 Plan, no further grants may be made under the 2018 Plan; however, any outstanding equity awards granted under the 2018 Plan will continue to be governed by the terms of the 2018 Plan.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951,236 shares of common stock remained available for issuance under the 2021 Plan.</w:t>
      </w:r>
    </w:p>
    <w:p>
      <w:pPr>
        <w:spacing w:after="0" w:line="198" w:lineRule="exact"/>
        <w:rPr>
          <w:sz w:val="20"/>
          <w:szCs w:val="20"/>
          <w:color w:val="auto"/>
        </w:rPr>
      </w:pPr>
    </w:p>
    <w:p>
      <w:pPr>
        <w:ind w:right="920" w:firstLine="405"/>
        <w:spacing w:after="0" w:line="279" w:lineRule="auto"/>
        <w:rPr>
          <w:sz w:val="20"/>
          <w:szCs w:val="20"/>
          <w:color w:val="auto"/>
        </w:rPr>
      </w:pPr>
      <w:r>
        <w:rPr>
          <w:rFonts w:ascii="Times New Roman" w:cs="Times New Roman" w:eastAsia="Times New Roman" w:hAnsi="Times New Roman"/>
          <w:sz w:val="18"/>
          <w:szCs w:val="18"/>
          <w:color w:val="auto"/>
        </w:rPr>
        <w:t>The following table sets forth stock-based compensation included in the Company’s condensed consolidated statements of operations and comprehensive loss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6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7"/>
        </w:trPr>
        <w:tc>
          <w:tcPr>
            <w:tcW w:w="53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there was $9.2 million of total unrecognized compensation cost related to unvested stock options granted under the 2021 Plan, which is expected to be recognized over a weighted average period of 2.1 years.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March 2021, the Company adopted the Employee Stock Purchase Plan (the “ESPP”), which became effective in connection with the IPO. The ESPP was adopted by the Board of Directors and stockholders in March 2021, but the Company has not yet commenced offerings to employees under the ESPP. As of March 31, 2026, the Company had 192,148 shares of its common stock available for future issuance under the ESPP.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02" w:lineRule="exact"/>
        <w:rPr>
          <w:sz w:val="20"/>
          <w:szCs w:val="20"/>
          <w:color w:val="auto"/>
        </w:rPr>
      </w:pPr>
    </w:p>
    <w:p>
      <w:pPr>
        <w:ind w:right="200" w:firstLine="405"/>
        <w:spacing w:after="0" w:line="279" w:lineRule="auto"/>
        <w:rPr>
          <w:sz w:val="20"/>
          <w:szCs w:val="20"/>
          <w:color w:val="auto"/>
        </w:rPr>
      </w:pPr>
      <w:r>
        <w:rPr>
          <w:rFonts w:ascii="Times New Roman" w:cs="Times New Roman" w:eastAsia="Times New Roman" w:hAnsi="Times New Roman"/>
          <w:sz w:val="18"/>
          <w:szCs w:val="18"/>
          <w:color w:val="auto"/>
        </w:rPr>
        <w:t>The following outstanding potentially dilutive shares have been excluded from the calculation of diluted net loss per share for the periods presented due to their anti-dilutive effect:</w:t>
      </w:r>
    </w:p>
    <w:p>
      <w:pPr>
        <w:spacing w:after="0" w:line="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36830</wp:posOffset>
            </wp:positionV>
            <wp:extent cx="3728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3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9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1,406,324</w:t>
            </w: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1,234,635</w:t>
            </w:r>
          </w:p>
        </w:tc>
      </w:tr>
      <w:tr>
        <w:trPr>
          <w:trHeight w:val="27"/>
        </w:trPr>
        <w:tc>
          <w:tcPr>
            <w:tcW w:w="5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 and Impairment of Long-Lived Assets</w:t>
      </w:r>
    </w:p>
    <w:p>
      <w:pPr>
        <w:spacing w:after="0" w:line="20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 January 2023, the Board of Directors approved a restructuring plan and the Company announced the consolidation of the ITIL-306 Phase 1 clinical trial, which included contract terminations.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January 2024, the Board of Directors approved a comprehensive restructuring plan, which included the closure of the Company’s UK manufacturing facility and clinical trial operations. In September 2024, the Board of Directors approved additional UK restructuring actions, which resulted in the elimination of the majority of the remaining UK workforce in the fall of 2024, with the remaining reduction and restructuring activities substantially completed by the end of 2024.</w:t>
      </w:r>
    </w:p>
    <w:p>
      <w:pPr>
        <w:spacing w:after="0" w:line="13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Collectively, the restructuring events from 2023 and 2024 are referred to as the “Plan.” Certain contractual obligations associated with the Plan were settled in 2025, resulting in related cost adjustments.</w:t>
      </w:r>
    </w:p>
    <w:p>
      <w:pPr>
        <w:spacing w:after="0" w:line="121"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In March 2025, the Board of Directors approved a plan to sell the Tarzana facility, and the Company listed the Tarzana facility for sale and reclassified it as a long-lived asset held for sale and incurred impairment charges on the facility and as well as charges related to the anticipated cost to sell the facility, collectively, these charges are referred to as (the “2025 Tarzana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67"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In January 2026, Axion Bio discontinued development of AXN-2510, and the Company terminated certain employees associated with this program (the “2026 Employee Terminations”).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Impairment Charges</w:t>
      </w:r>
    </w:p>
    <w:p>
      <w:pPr>
        <w:spacing w:after="0" w:line="189" w:lineRule="exact"/>
        <w:rPr>
          <w:sz w:val="20"/>
          <w:szCs w:val="20"/>
          <w:color w:val="auto"/>
        </w:rPr>
      </w:pPr>
    </w:p>
    <w:p>
      <w:pPr>
        <w:ind w:right="220" w:firstLine="405"/>
        <w:spacing w:after="0"/>
        <w:rPr>
          <w:sz w:val="20"/>
          <w:szCs w:val="20"/>
          <w:color w:val="auto"/>
        </w:rPr>
      </w:pPr>
      <w:r>
        <w:rPr>
          <w:rFonts w:ascii="Times New Roman" w:cs="Times New Roman" w:eastAsia="Times New Roman" w:hAnsi="Times New Roman"/>
          <w:sz w:val="18"/>
          <w:szCs w:val="18"/>
          <w:color w:val="auto"/>
        </w:rPr>
        <w:t>As a result of the 2026 Employee Terminations, the Company recorded charges of $1.0 million within the condensed consolidated statements of operations and comprehensive loss in the line item “restructuring and impairment charges” for the three months ended March 31, 2026. As a result of the 2025 Tarzana Charges and the Plan, the Company recorded charges of $16.1 million within the condensed consolidated statements of operations and comprehensive loss in the line item “restructuring and impairment charges” for the three months ended March 31, 2025.</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restructuring and impairment loss (gain) by category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41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Pr>
          <w:p>
            <w:pPr>
              <w:spacing w:after="0"/>
              <w:rPr>
                <w:sz w:val="20"/>
                <w:szCs w:val="20"/>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terminations</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 held for sale</w:t>
            </w:r>
          </w:p>
        </w:tc>
        <w:tc>
          <w:tcPr>
            <w:tcW w:w="17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w:t>
            </w:r>
          </w:p>
        </w:tc>
      </w:tr>
      <w:tr>
        <w:trPr>
          <w:trHeight w:val="27"/>
        </w:trPr>
        <w:tc>
          <w:tcPr>
            <w:tcW w:w="6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7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restructuring and impairment charges</w:t>
            </w:r>
          </w:p>
        </w:tc>
        <w:tc>
          <w:tcPr>
            <w:tcW w:w="1740" w:type="dxa"/>
            <w:vAlign w:val="bottom"/>
            <w:tcBorders>
              <w:top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0"/>
                <w:szCs w:val="20"/>
                <w:color w:val="auto"/>
              </w:rPr>
            </w:pPr>
          </w:p>
        </w:tc>
        <w:tc>
          <w:tcPr>
            <w:tcW w:w="1640" w:type="dxa"/>
            <w:vAlign w:val="bottom"/>
            <w:tcBorders>
              <w:top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16,082</w:t>
            </w:r>
          </w:p>
        </w:tc>
      </w:tr>
      <w:tr>
        <w:trPr>
          <w:trHeight w:val="27"/>
        </w:trPr>
        <w:tc>
          <w:tcPr>
            <w:tcW w:w="6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
        </w:trPr>
        <w:tc>
          <w:tcPr>
            <w:tcW w:w="6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Liability</w:t>
      </w:r>
    </w:p>
    <w:p>
      <w:pPr>
        <w:spacing w:after="0" w:line="18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Plan and the 2026 Employee Terminations, a restructuring liability was recorded in the condensed consolidated balance sheets under “Accrued expenses and other current liabilities” and was measured at the amount expected to be paid, or that was paid. During the quarter ended March 31, 2026, the Company paid $1.0 million of employee benefits and expects to pay the remainder of the restructuring costs by the end of 2026.</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restructuring liability related to the Plan and the 2026 Employee Terminations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6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 Benefits</w:t>
            </w:r>
          </w:p>
        </w:tc>
        <w:tc>
          <w:tcPr>
            <w:tcW w:w="20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Terminations</w:t>
            </w:r>
          </w:p>
        </w:tc>
        <w:tc>
          <w:tcPr>
            <w:tcW w:w="360" w:type="dxa"/>
            <w:vAlign w:val="bottom"/>
          </w:tcPr>
          <w:p>
            <w:pPr>
              <w:spacing w:after="0"/>
              <w:rPr>
                <w:sz w:val="20"/>
                <w:szCs w:val="20"/>
                <w:color w:val="auto"/>
              </w:rPr>
            </w:pP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liability as of December 31,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6"/>
              </w:rPr>
              <w:t>992</w:t>
            </w:r>
          </w:p>
        </w:tc>
      </w:tr>
      <w:tr>
        <w:trPr>
          <w:trHeight w:val="27"/>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(992)</w:t>
            </w:r>
          </w:p>
        </w:tc>
      </w:tr>
      <w:tr>
        <w:trPr>
          <w:trHeight w:val="26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liability as of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60" w:firstLine="405"/>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2025 and the related Management’s Discussion and Analysis of Financial Condition and Results of Operations, both of which are contained in our Annual Report on Form 10-K filed with the Securities and Exchange Commission, or the SEC, on March 27, 2026. Unless the context requires otherwise, references in this Quarterly Report on Form 10-Q to “we,” “us” and “our” refer to Instil Bio, Inc. and our consolidated subsidiaries.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7" w:lineRule="exact"/>
        <w:rPr>
          <w:sz w:val="20"/>
          <w:szCs w:val="20"/>
          <w:color w:val="auto"/>
        </w:rPr>
      </w:pPr>
    </w:p>
    <w:p>
      <w:pPr>
        <w:ind w:firstLine="405"/>
        <w:spacing w:after="0" w:line="24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expectations regarding collaborations and clinical trials,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a biotechnology company focused on identifying and advancing innovative therapeutic opportunities.</w:t>
      </w:r>
    </w:p>
    <w:p>
      <w:pPr>
        <w:spacing w:after="0" w:line="18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January 2026, we announced that our wholly owned subsidiary, Axion Bio, Inc., or Axion Bio, was discontinuing development of AXN-2510, our former lead product candidate. We are actively seeking to in-license or acquire and develop additional novel therapeutic candidates in diseases with significant unmet medical need.</w:t>
      </w:r>
    </w:p>
    <w:p>
      <w:pPr>
        <w:spacing w:after="0" w:line="13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Since inception, we have had significant operating losses. Our net loss was $4.2 million for the three months ended March 31, 2026. As of March 31, 2026, we had an accumulated deficit of $730.7 million. As of March 31, 2026, we had cash, cash equivalents, restricted cash and marketable securities of approximately $74.7 million, which consists of $5.0 million in cash and cash equivalents, $0.1 million in restricted cash and $69.5 million in marketable securities. We expect to continue to incur net losses for the foreseeable future.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research and development, manufacturing, monitoring and other services payments and, to a lesser extent, salaries, benefits and other personnel-related costs, including stock-based compensation, professional service fees, and facility and other related costs. In addition, research and development expense is presented net of reimbursements from reimbursable tax and expenditure credits and grants from the UK government.</w:t>
      </w:r>
    </w:p>
    <w:p>
      <w:pPr>
        <w:spacing w:after="0" w:line="13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We expect our future research and development expenses to change in line with our potential business development activities and any nonclinical and clinical development activities. Our expenditures on any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6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nonclinical and clinical development programs are subject to numerous uncertainties in timing and cost to completion. The duration, costs and timing of clinical trials and development of product candidates will depend on a variety of factors, including:</w:t>
      </w:r>
    </w:p>
    <w:p>
      <w:pPr>
        <w:spacing w:after="0" w:line="121" w:lineRule="exact"/>
        <w:rPr>
          <w:sz w:val="20"/>
          <w:szCs w:val="20"/>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safety monitoring and other studies requested by regulatory agencies;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regulatory approvals, if any.</w:t>
      </w:r>
    </w:p>
    <w:p>
      <w:pPr>
        <w:spacing w:after="0" w:line="22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process of conducting the necessary clinical research to obtain regulatory approval from the U.S. Food and Drug Administration, or FDA, Medicines and Healthcare Products Regulatory Agency, or MHRA, European Medicines Agency, or EMA, and comparable foreign authorities is costly and time-consuming and the successful development of product candidates is highly uncertain. The risks and uncertainties associated with our research and development projects are discussed more fully in the section of this Quarterly Report titled “Risk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product candidates that obtain regulatory approval. We may never succeed in achieving regulatory approval for any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and personnel-related expenses, including stock-based compensation, for our personnel in executive, finance and other administrative functions. General and administrative expenses also include professional fees paid for accounting, auditing, legal, tax and consulting services, insurance costs, recruiting costs, travel expenses, facility and other related costs, depreciation, and other general and administrative costs.</w:t>
      </w:r>
    </w:p>
    <w:p>
      <w:pPr>
        <w:spacing w:after="0" w:line="13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as a result of operating as a public company, including expenses related to compliance with the rules and regulations of the SEC, director and officer insurance expenses, and any investor relations related expenses, as well as other administrative and professional services.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Impairment Charges</w:t>
      </w:r>
    </w:p>
    <w:p>
      <w:pPr>
        <w:spacing w:after="0" w:line="187"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Restructuring and impairment charges for the three months ended March 31, 2026 consisted of employee termination costs. Restructuring and impairment charges for the three months ended March 31, 2025 consisted primarily of an impairment loss recognized on long-lived assets held for sale in connection with listing our Tarzana facility for sale in March 2025, partially offset by a settlement gain on terminated contracts.</w:t>
      </w:r>
    </w:p>
    <w:p>
      <w:pPr>
        <w:spacing w:after="0" w:line="13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In January 2023, the Board of Directors approved a restructuring plan and we announced the consolidation of the ITIL-306 Phase 1 clinical trial, which included contract terminations.</w:t>
      </w:r>
    </w:p>
    <w:p>
      <w:pPr>
        <w:spacing w:after="0" w:line="135"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In January 2024, we decided to initiate closure of our UK manufacturing and clinical operations related to our past development of our CoStAR-TIL technology, and in September 2024 we decided to close most of our remaining Manchester, UK operations related to our past development of our CoStAR-TIL technology, which resulted in the elimination of the majority of the remaining UK workforce, with the remaining reduction substantially completed by the end of 2024.</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Collectively, the restructuring events from 2023 and 2024 are referred to as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53" w:lineRule="exact"/>
        <w:rPr>
          <w:sz w:val="20"/>
          <w:szCs w:val="20"/>
          <w:color w:val="auto"/>
        </w:rPr>
      </w:pPr>
    </w:p>
    <w:p>
      <w:pPr>
        <w:jc w:val="center"/>
        <w:ind w:right="60"/>
        <w:spacing w:after="0" w:line="296" w:lineRule="auto"/>
        <w:rPr>
          <w:sz w:val="20"/>
          <w:szCs w:val="20"/>
          <w:color w:val="auto"/>
        </w:rPr>
      </w:pPr>
      <w:r>
        <w:rPr>
          <w:rFonts w:ascii="Times New Roman" w:cs="Times New Roman" w:eastAsia="Times New Roman" w:hAnsi="Times New Roman"/>
          <w:sz w:val="17"/>
          <w:szCs w:val="17"/>
          <w:color w:val="auto"/>
        </w:rPr>
        <w:t>In March 2025, the Board of Directors approved a plan to sell our Tarzana facility, and we listed our Tarzana facility for sale. At such time, we reclassified the facility as a long-lived asset held for sale and incurred impairment charges related thereto, which we refer to as the 2025 Tarzana Charges.</w:t>
      </w:r>
    </w:p>
    <w:p>
      <w:pPr>
        <w:spacing w:after="0" w:line="179"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In May 2026, we determined that there had been a change to our plan with respect to the Tarzana facility and the Board of Directors approved discontinuing the plan to market the Tarzana facility for sale. As a result, we determined that this asset no longer meets the criteria to be classified as held for sale under ASC 360. Consequently, in the second quarter of 2026, this asset will be reclassified as held and used at the lower of (a) its carrying amount before the asset was classified as held for sale, adjusted for depreciation expenses that would have been recognized had the asset been continuously classified as held and used, and (b) its fair value. We are currently evaluating the financial statement impact of this reclassification. The resulting adjustment will be recognized in the second quarter in the condensed consolidated statement of operations and comprehensive loss as a component of gain (loss) from operations.</w:t>
      </w:r>
    </w:p>
    <w:p>
      <w:pPr>
        <w:spacing w:after="0" w:line="2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In January 2026, Axion Bio discontinued development of AXN-2510 and terminated certain employees associated with this program, or the 2026 Employee Terminations.</w:t>
      </w:r>
    </w:p>
    <w:p>
      <w:pPr>
        <w:spacing w:after="0" w:line="135"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As a result of the Plan, the 2025 Tarzana Charges and the 2026 Employee Terminations, we incurred restructuring and impairment charges of $1.0 million and $16.1 million during the three months ended March 31, 2026 and 2025, respectively.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consists of interest income from funds held in our cash and cash equivalent accounts, restricted cash and marketable securities.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consists of interest expense on our debt and amortization of loan origination costs.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Rental Income</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rental income consists of rental income related to the Tarzana facility.</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Gain on Contract Termination</w:t>
      </w:r>
    </w:p>
    <w:p>
      <w:pPr>
        <w:spacing w:after="0" w:line="189"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Gain on contract termination consists of a payment received pursuant to the termination agreement between ImmuneOnco Biopharmaceuticals (Shanghai) Inc., or ImmuneOnco, and Axion Bio related to discontinuing development of AXN-2510.</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(expense) income, net consists primarily of foreign exchange remeasurement gain or loss and other expenses and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2" w:name="page23"/>
    <w:bookmarkEnd w:id="22"/>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8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48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r>
      <w:tr>
        <w:trPr>
          <w:trHeight w:val="27"/>
        </w:trPr>
        <w:tc>
          <w:tcPr>
            <w:tcW w:w="4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43"/>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w:t>
            </w:r>
          </w:p>
        </w:tc>
      </w:tr>
      <w:tr>
        <w:trPr>
          <w:trHeight w:val="27"/>
        </w:trPr>
        <w:tc>
          <w:tcPr>
            <w:tcW w:w="4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w:t>
            </w: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23,552</w:t>
            </w:r>
          </w:p>
        </w:tc>
      </w:tr>
      <w:tr>
        <w:trPr>
          <w:trHeight w:val="27"/>
        </w:trPr>
        <w:tc>
          <w:tcPr>
            <w:tcW w:w="4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4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rental income</w:t>
            </w:r>
          </w:p>
        </w:tc>
        <w:tc>
          <w:tcPr>
            <w:tcW w:w="1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contract termination</w:t>
            </w:r>
          </w:p>
        </w:tc>
        <w:tc>
          <w:tcPr>
            <w:tcW w:w="1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7"/>
        </w:trPr>
        <w:tc>
          <w:tcPr>
            <w:tcW w:w="4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top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23,996</w:t>
            </w:r>
          </w:p>
        </w:tc>
      </w:tr>
      <w:tr>
        <w:trPr>
          <w:trHeight w:val="27"/>
        </w:trPr>
        <w:tc>
          <w:tcPr>
            <w:tcW w:w="48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48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$0.7 million and $5.4 million for the three months ended March 31, 2026 and 2025, respectively. The net decrease of approximately $4.7 million was primarily due to:</w:t>
      </w:r>
    </w:p>
    <w:p>
      <w:pPr>
        <w:spacing w:after="0" w:line="121" w:lineRule="exact"/>
        <w:rPr>
          <w:sz w:val="20"/>
          <w:szCs w:val="20"/>
          <w:color w:val="auto"/>
        </w:rPr>
      </w:pPr>
    </w:p>
    <w:p>
      <w:pPr>
        <w:ind w:left="1140" w:right="160" w:hanging="646"/>
        <w:spacing w:after="0" w:line="261"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decrease in costs related to research and clinical development activities primarily due to discontinuing development of AXN-2510; and</w:t>
      </w:r>
    </w:p>
    <w:p>
      <w:pPr>
        <w:ind w:left="1140" w:right="360" w:hanging="646"/>
        <w:spacing w:after="0" w:line="26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decrease in employee-related costs from reduced headcount, consisting primarily of a $0.6 million decrease in stock-based compensation expense and a decrease in bonus and severance payments of $0.5 million.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months ended March 31, 2026 and 2025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7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0"/>
                <w:szCs w:val="20"/>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AXN-2510</w:t>
            </w:r>
          </w:p>
        </w:tc>
        <w:tc>
          <w:tcPr>
            <w:tcW w:w="154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7"/>
        </w:trPr>
        <w:tc>
          <w:tcPr>
            <w:tcW w:w="6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Other program expenses </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 by program</w:t>
            </w:r>
          </w:p>
        </w:tc>
        <w:tc>
          <w:tcPr>
            <w:tcW w:w="154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7"/>
        </w:trPr>
        <w:tc>
          <w:tcPr>
            <w:tcW w:w="68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
        </w:trPr>
        <w:tc>
          <w:tcPr>
            <w:tcW w:w="6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w:t>
      </w:r>
    </w:p>
    <w:p>
      <w:pPr>
        <w:spacing w:after="0" w:line="14"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program expenses consist of costs related to our past development of our CoStAR-TIL technology.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$5.3 million and $9.1 million for the three months ended March 31, 2026 and 2025, respectively. The net decrease of $3.8 million was primarily due to:</w:t>
      </w:r>
    </w:p>
    <w:p>
      <w:pPr>
        <w:spacing w:after="0" w:line="121" w:lineRule="exact"/>
        <w:rPr>
          <w:sz w:val="20"/>
          <w:szCs w:val="20"/>
          <w:color w:val="auto"/>
        </w:rPr>
      </w:pPr>
    </w:p>
    <w:p>
      <w:pPr>
        <w:ind w:left="1140" w:right="340" w:hanging="646"/>
        <w:spacing w:after="0" w:line="261"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decrease in employee-related costs from reduced headcount, consisting primarily of a $1.9 million decrease in stock-based compensation expense and a $0.4 million decrease in bonus and other employee-related expenses;</w:t>
      </w: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decrease in consulting and professional services costs;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insurance expense, depreciation, and office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Impairment Charges</w:t>
      </w:r>
    </w:p>
    <w:p>
      <w:pPr>
        <w:spacing w:after="0" w:line="187"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Restructuring and impairment charges were approximately $1.0 million and $16.1 million for the three months ended March 31, 2026 and 2025, respectively. The net decrease of approximately $15.1 million was primarily due to:</w:t>
      </w:r>
    </w:p>
    <w:p>
      <w:pPr>
        <w:spacing w:after="0" w:line="121" w:lineRule="exact"/>
        <w:rPr>
          <w:sz w:val="20"/>
          <w:szCs w:val="20"/>
          <w:color w:val="auto"/>
        </w:rPr>
      </w:pPr>
    </w:p>
    <w:p>
      <w:pPr>
        <w:ind w:left="1140" w:right="180" w:hanging="646"/>
        <w:spacing w:after="0" w:line="26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 million impairment recognized on long-lived assets held for sale mainly related to impairment of the Tarzana facility and as well as charges related to the anticipated cost to sell the facility in the first quarter of 2025; partially offset by</w:t>
      </w: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increase in severance payments;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due to a settlement gain on terminated contracts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Interest Expense, Other Rental Income, Gain on Contract Termination, and Other (Expense) Income, Net</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interest expense, other rental income, gain on contract termination and other (expense) income, net were $2.8 million and</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$2.4 million of income for the three months ended March 31, 2026 and 2025, respectively. The net increase of approximately $0.4 million was primarily due to:</w:t>
      </w:r>
    </w:p>
    <w:p>
      <w:pPr>
        <w:spacing w:after="0" w:line="141" w:lineRule="exact"/>
        <w:rPr>
          <w:sz w:val="20"/>
          <w:szCs w:val="20"/>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increase in gain on contract termination;</w:t>
      </w:r>
    </w:p>
    <w:p>
      <w:pPr>
        <w:spacing w:after="0" w:line="2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decrease in other expenses; partially offset by</w:t>
      </w:r>
    </w:p>
    <w:p>
      <w:pPr>
        <w:spacing w:after="0" w:line="22"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in interest expense related to the 2024 Loan (as defined below);</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in interest income related to our investments;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increase in foreign currency transaction losses.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we have incurred significant operating losses. We do not have any products that have achieved regulatory marketing approval and we do not expect to generate revenue from commercial sales of any product candidate for at least several years, if ever.</w:t>
      </w:r>
    </w:p>
    <w:p>
      <w:pPr>
        <w:spacing w:after="0" w:line="14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or IPO, we funded our operations primarily through the issuance and sale of convertible preferred stock. From our inception through March 2021, prior to our IPO, we raised net cash proceeds of $380.1 million from the issuance and sale of our convertible preferred stock.</w:t>
      </w:r>
    </w:p>
    <w:p>
      <w:pPr>
        <w:spacing w:after="0" w:line="13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the first quarter of 2021, we raised net proceeds of $339.0 million in our IPO pursuant to which we sold an aggregate of 920,000 shares of common stock.</w:t>
      </w:r>
    </w:p>
    <w:p>
      <w:pPr>
        <w:spacing w:after="0" w:line="12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June 2022, our wholly owned subsidiaries, Complex Therapeutics Mezzanine LLC and Complex Therapeutics LLC, entered into a mortgage construction loan and mezzanine construction loan, or together, the Construction Loans, secured by Complex Therapeutics LLC’s Tarzana, California land and building. Construction of the Tarzana facility was subsequently completed and in 2024 the facility was leased to AstraZeneca</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4" w:name="page25"/>
    <w:bookmarkEnd w:id="24"/>
    <w:p>
      <w:pPr>
        <w:spacing w:after="0" w:line="1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Pharmaceuticals LP, or Tenant. The initial base rent under the lease to Tenant was approximately $0.6 million per month (approximately $7.5 million annually) and the base rent escalates by 3% per annum. On December 20, 2024, or the Closing Date, Complex Therapeutics LLC entered into a Term Loan Agreement and related loan documents with Midland National Life Insurance Company, or Midland, pursuant to which Midland loaned Complex Therapeutics LLC a term loan in the principal amount of $85.6 million, or the 2024 Loan, to refinance the Construction Loans secured by the Tarzana facility. Substantially all of the 2024 Loan proceeds were used to repay in full the Construction Loans.</w:t>
      </w:r>
    </w:p>
    <w:p>
      <w:pPr>
        <w:spacing w:after="0" w:line="143"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On November 13, 2024, we filed a shelf registration statement on Form S-3 with the SEC, which the SEC declared effective on November 21, 2024. Pursuant to our shelf registration statement we may, from time to time, sell up to an aggregate of $200 million of our common stock, preferred stock, debt securities or warrants.</w:t>
      </w:r>
    </w:p>
    <w:p>
      <w:pPr>
        <w:spacing w:after="0" w:line="145" w:lineRule="exact"/>
        <w:rPr>
          <w:sz w:val="20"/>
          <w:szCs w:val="20"/>
          <w:color w:val="auto"/>
        </w:rPr>
      </w:pPr>
    </w:p>
    <w:p>
      <w:pPr>
        <w:ind w:right="120" w:firstLine="405"/>
        <w:spacing w:after="0" w:line="236" w:lineRule="auto"/>
        <w:rPr>
          <w:sz w:val="20"/>
          <w:szCs w:val="20"/>
          <w:color w:val="auto"/>
        </w:rPr>
      </w:pPr>
      <w:r>
        <w:rPr>
          <w:rFonts w:ascii="Times New Roman" w:cs="Times New Roman" w:eastAsia="Times New Roman" w:hAnsi="Times New Roman"/>
          <w:sz w:val="18"/>
          <w:szCs w:val="18"/>
          <w:color w:val="auto"/>
        </w:rPr>
        <w:t>In March 2025,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with Jefferies LLC, or Jefferies, as sales agent, under which we may offer and sell, from time to time, shares of our common stock, through Jefferies, with an aggregate offering price of up to $100 million by methods deemed to be an “at the market offering,” or the ATM Program.</w:t>
      </w:r>
    </w:p>
    <w:p>
      <w:pPr>
        <w:spacing w:after="0" w:line="160"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we had sold an aggregate of 185,837 shares of our common stock under the ATM Program for net proceeds of $6.6 million after deducting commissions and expenses of approximately $0.3 million. The remaining availability under the ATM Program as of March 31, 2026 was approximately $93.1 million.</w:t>
      </w:r>
    </w:p>
    <w:p>
      <w:pPr>
        <w:spacing w:after="0" w:line="13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we had cash, cash equivalents, restricted cash and marketable securities of approximately $74.7 million, which consisted of $5.0 million in cash and cash equivalents, $0.1 million in restricted cash and $69.5 million in marketable securities. Cash in excess of immediate requirements is invested in accordance with our investment policy, primarily with a view to liquidity and capital preservation.</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8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December 2024, Complex Therapeutics LLC entered into the 2024 Loan to refinance the Construction Loans secured by the Tarzana facility. As of March 31, 2026, the outstanding principal amount under the 2024 Loan was $85.6 million and unamortized debt issuance costs were $0.6 million. The 2024 Loan bears interest at a fixed rate of 6.35% per annum, with interest-only payments during the term of the 2024 Loan and the principal balance due in full at maturity. The 2024 Loan may be prepaid in whole but not in part. There is no prepayment fee due if the 2024 Loan is prepaid after the 12-month anniversary of the Closing Date. The 2024 Loan has a term of two years with a one-year extension option. The extension option is subject to certain conditions being met, including: (a) no potential default or event of default, (b) payment of a 0.35% extension fee and the costs and expenses of Midland incurred in connection with the extension, (c) replenishing of all reserve funds as reasonably determined by Midland, and (d) compliance with minimum debt yield and debt service coverage ratio requirements. We expect Complex Therapeutics LLC to meet all requirements necessary to exercise the extension to extend the maturity by one year to January 2028, and we expect that written notice to extend the loan will be provided as early as the 2024 Loan permits, which is no sooner than one hundred twenty days from its maturity date and no later than thirty days before its maturity date.</w:t>
      </w:r>
    </w:p>
    <w:p>
      <w:pPr>
        <w:spacing w:after="0" w:line="1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believe our existing cash, cash equivalents, restricted cash and marketable securities will be sufficient to fund our operating expenses and capital expenditure requirements beyond 2027.</w:t>
      </w:r>
    </w:p>
    <w:p>
      <w:pPr>
        <w:spacing w:after="0" w:line="1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We evaluated our ability to continue as a going concern for the twelve months following the issuance of the condensed consolidated financial statements. As discussed above and in Note 8 to the accompanying condensed consolidated financial statements, the 2024 Loan is due in January 2027, for total principal of $85.6 million, which is in excess of cash, cash equivalents, and marketable securities on hand as of March 31, 2026, which we concluded is an indicator of substantial doubt about our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6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plan to exercise our contractual right to extend the maturity of the 2024 Loan to January 2028. In addition, we may seek to refinance or restructure the 2024 Loan, sell the Tarzana facility to repay the 2024 Loan, or seek additional financing in the form of equity or debt instruments. There can be no assurance that new financing or other forms of funding will be available on favorable terms or at all. We concluded that management's plans, including Complex Therapeutics LLC’s contractual right to exercise the extension option to January 2028, which is within Complex Therapeutics LLC’s control, alleviate the conditions that raise substantial doubt about our ability to continue as a going concern.</w:t>
      </w:r>
    </w:p>
    <w:p>
      <w:pPr>
        <w:spacing w:after="0" w:line="143"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use our cash to fund operations, primarily to fund our business development, research and development expenditures and related personnel costs. We expect our expenses to continue to be significant as we invest in research and development activities, particularly if we in-license or acquire product candidates, advance one or more product candidates into later stages of development and conduct clinical trials, seek regulatory approvals for and commercialize any product candidates that successfully complete clinical trials, hire personnel and invest in and grow our business, expand and protect our intellectual property portfolio, and operate as a public company. Because of the numerous risks and uncertainties associated with acquiring product candidates, and the research, development and commercialization of product candidates, we are unable to estimate the exact timing and amount of our funding requirements. Our future operating expenditures will depend on many factors, including:</w:t>
      </w:r>
    </w:p>
    <w:p>
      <w:pPr>
        <w:spacing w:after="0" w:line="162" w:lineRule="exact"/>
        <w:rPr>
          <w:sz w:val="20"/>
          <w:szCs w:val="20"/>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companies’ product candidates and technologies;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costs and results of future clinical and preclinical development activities;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product candidates, and the number of trials required for regulatory approval;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any product candidates, as well as any products we successfully commercialize;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any product candidates, if approved for sale, including marketing, sales and distribution costs;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product candidates, if approved;</w:t>
      </w:r>
    </w:p>
    <w:p>
      <w:pPr>
        <w:spacing w:after="0" w:line="117" w:lineRule="exact"/>
        <w:rPr>
          <w:rFonts w:ascii="Times New Roman" w:cs="Times New Roman" w:eastAsia="Times New Roman" w:hAnsi="Times New Roman"/>
          <w:sz w:val="18"/>
          <w:szCs w:val="18"/>
          <w:color w:val="auto"/>
        </w:rPr>
      </w:pPr>
    </w:p>
    <w:p>
      <w:pPr>
        <w:ind w:left="1140" w:right="72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any such arrangements,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or claims;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our operational, financial and management information systems;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operating as a public company;</w:t>
      </w:r>
    </w:p>
    <w:p>
      <w:pPr>
        <w:spacing w:after="0" w:line="117" w:lineRule="exact"/>
        <w:rPr>
          <w:rFonts w:ascii="Times New Roman" w:cs="Times New Roman" w:eastAsia="Times New Roman" w:hAnsi="Times New Roman"/>
          <w:sz w:val="18"/>
          <w:szCs w:val="18"/>
          <w:color w:val="auto"/>
        </w:rPr>
      </w:pPr>
    </w:p>
    <w:p>
      <w:pPr>
        <w:ind w:left="1140" w:right="56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any intellectual property portfolio we may acquire;</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Tarzana facility;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issues resulting from the impact of adverse geopolitical and economic conditions.</w:t>
      </w:r>
    </w:p>
    <w:p>
      <w:pPr>
        <w:spacing w:after="0" w:line="18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Until we can generate substantial revenue from sales of a product candidate, if that occurs, we plan to fund our operations through equity offerings, debt financings, leasing income, or other capital sources. This may include strategic collaborations or other arrangements with third parties. Additional funds may not be available to us on acceptable terms or at all. If we raise additional funds by issuing equity or convertible debt securities, our stockholders will suffer dilution, and the terms of these securities may include liquidation or other preferences that adversely affect the rights of our common stockholders. Debt financing, if available, may involve restrictive covenants limiting our flexibility in conducting future business activities, and, in the event of insolvency, debt holders would be repaid before holders of our equity securities receive any distribution of our corporate assets. If we raise funds through collaborations or other similar arrangements with third parties, we may have to relinquish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valuable rights to technologies, future revenue streams, product candidates or research programs or grant licenses on terms that may not be favorable to us and/or may reduce the value of our common stock. Our ability to raise additional funds may be adversely impacted by worsening global economic conditions and the recent disruptions to, and volatility in, the credit and financial markets in the United States and worldwide resulting from, among other things, heightened inflation, fluctuations in interest rates, military conflicts, including in Ukraine and the Middle East, tariffs and recent and potential trade wars. If we fail to obtain necessary capital when needed on acceptable terms, or at all, it could force us to delay, limit, reduce or terminate our product development programs, commercialization efforts or other operations. See “Risk Factors.”</w:t>
      </w:r>
    </w:p>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significant sources and uses of cash for the periods set forth below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7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4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21"/>
                <w:szCs w:val="21"/>
                <w:color w:val="auto"/>
              </w:rPr>
            </w:pPr>
          </w:p>
        </w:tc>
        <w:tc>
          <w:tcPr>
            <w:tcW w:w="1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r>
      <w:tr>
        <w:trPr>
          <w:trHeight w:val="27"/>
        </w:trPr>
        <w:tc>
          <w:tcPr>
            <w:tcW w:w="6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440" w:type="dxa"/>
            <w:vAlign w:val="bottom"/>
          </w:tcPr>
          <w:p>
            <w:pPr>
              <w:spacing w:after="0"/>
              <w:rPr>
                <w:sz w:val="21"/>
                <w:szCs w:val="21"/>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68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87"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2026 was $1.3 million, which consisted of the net loss of $4.2 million, partially offset by a $1.3 million net change to our net operating assets and liabilities and $1.6 million in non-cash charges and other adjustments to reconcile net loss to net cash used in operating activities. The net change in our operating assets and liabilities was primarily due to a decrease of $1.5 million in prepaid expenses and other current assets, a decrease of $0.1 million in other long-term assets, and an increase of $0.1 million in accrued expenses and other current liabilities, partially offset by an increase of $0.3 million in accrued rent receivable and a decrease of $0.1 million in operating lease liabilities. The non-cash charges primarily consisted of stock-based compensation expense of $1.0 million, non-cash interest expense of $0.2 million, accretion on invested securities of $0.2 million and change in foreign exchange remeasurement of $0.1 million.</w:t>
      </w:r>
    </w:p>
    <w:p>
      <w:pPr>
        <w:spacing w:after="0" w:line="16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2025 was $4.2 million, which consisted of the net loss of $28.2 million, partially offset by a $3.6 million net change to our net operating assets and liabilities and $20.4 million in non-cash charges and other adjustments to reconcile net loss to net cash used in operating activities. The net change in our operating assets and liabilities was primarily due to an increase of $6.5 million in prepaid expenses and other current assets, an increase of $1.3 million in accrued rent receivable and other long-term assets, a decrease of $0.2 million in operating lease liabilities, a decrease of $0.4 million in accounts payable, and a decrease of $1.0 million in accrued restructuring liabilities, accrued expenses and other current liabilities. The non-cash charges primarily consisted of stock-based compensation expense of $3.5 million, depreciation expense of $0.5 million, impairment of property, plant and equipment of $16.6 million, and non-cash interest expense of $0.2 million, offset by accretion on invested securities of $0.2 million and change in foreign exchange remeasurement of $0.2 million.</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7"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2026 was $0.3 million, consisting of $0.3 million related to purchases of marketable securities.</w:t>
      </w:r>
    </w:p>
    <w:p>
      <w:pPr>
        <w:spacing w:after="0" w:line="12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2025 was $9.6 million, consisting of $9.2 million related to redemptions from marketable securities and $0.4 million of cash received from the sale of assets classified as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2026 was nil.</w:t>
      </w:r>
    </w:p>
    <w:p>
      <w:pPr>
        <w:spacing w:after="0" w:line="18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2025 was $0.2 million, which was related to proceeds from the exercise of stock options of $0.4 million, offset by loan agreement closing costs of $0.2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assets and liabilities at the date of the condensed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For a description of critical accounting policies that require significant judgments and estimates during the preparation of our financial statements, refer to “Management’s Discussion and Analysis of Financial Condition and Results of Operations—Critical Accounting Policies and Estimates” and Note 2 to our consolidated financial statements contained in our Annual Report on Form 10-K for the year ended December 31, 2025 and Note 2 to the condensed consolidated financial statements included elsewhere in this Quarterly Report on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is included in Note 2 to the condensed consolidated financial statements included elsewhere in this Quarterly Report on Form 10-Q.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 and Smaller Reporting Company Status</w:t>
      </w:r>
    </w:p>
    <w:p>
      <w:pPr>
        <w:spacing w:after="0" w:line="20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 Accordingly, the information contained herein may be different than the information you receive from other public companies in which you hold stock.</w:t>
      </w:r>
    </w:p>
    <w:p>
      <w:pPr>
        <w:spacing w:after="0" w:line="14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addition, emerging growth companies can delay adopting new or revised accounting standards issued subsequent to the enactment of the JOBS Act until such time as those standards apply to private companies. We have elected to avail ourselves of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4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last business day of the second fiscal quarter of such year or (iv) the date on which we have issued more than $1.0 billion in non-convertible debt securities during the prior three-year period.</w:t>
      </w:r>
    </w:p>
    <w:p>
      <w:pPr>
        <w:spacing w:after="0" w:line="121"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under the Exchange Act.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10 of Regulation S-K and are not required to provide the information otherwise required under this item.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defined in Rules 13a-15(e) and 15d-15(e) under the Exchange Act) as of the end of the period covered by this Quarterly Report. Based upon that evaluation, our Chief Executive Officer and Chief Financial Officer have concluded that, as of March 31, 2026,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8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subject to any material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There are no material changes to the risk factors set forth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December 31,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420" w:right="7220" w:hanging="412"/>
        <w:spacing w:after="0" w:line="461" w:lineRule="auto"/>
        <w:tabs>
          <w:tab w:leader="none" w:pos="27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and Officer Trading Arrangements</w:t>
      </w:r>
    </w:p>
    <w:p>
      <w:pPr>
        <w:spacing w:after="0" w:line="187"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214" w:lineRule="exact"/>
        <w:rPr>
          <w:sz w:val="20"/>
          <w:szCs w:val="20"/>
          <w:color w:val="auto"/>
        </w:rPr>
      </w:pPr>
    </w:p>
    <w:tbl>
      <w:tblPr>
        <w:tblLayout w:type="fixed"/>
        <w:tblInd w:w="293" w:type="dxa"/>
        <w:tblCellMar>
          <w:top w:w="0" w:type="dxa"/>
          <w:left w:w="0" w:type="dxa"/>
          <w:bottom w:w="0" w:type="dxa"/>
          <w:right w:w="0" w:type="dxa"/>
        </w:tblCellMar>
      </w:tblPr>
      <w:tr>
        <w:trPr>
          <w:trHeight w:val="175"/>
        </w:trPr>
        <w:tc>
          <w:tcPr>
            <w:tcW w:w="8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80" w:type="dxa"/>
            <w:vAlign w:val="bottom"/>
          </w:tcPr>
          <w:p>
            <w:pPr>
              <w:spacing w:after="0"/>
              <w:rPr>
                <w:sz w:val="17"/>
                <w:szCs w:val="17"/>
                <w:color w:val="auto"/>
              </w:rPr>
            </w:pPr>
          </w:p>
        </w:tc>
        <w:tc>
          <w:tcPr>
            <w:tcW w:w="60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293"/>
        </w:trPr>
        <w:tc>
          <w:tcPr>
            <w:tcW w:w="820" w:type="dxa"/>
            <w:vAlign w:val="bottom"/>
            <w:vMerge w:val="restart"/>
          </w:tcPr>
          <w:p>
            <w:pPr>
              <w:jc w:val="center"/>
              <w:ind w:right="239"/>
              <w:spacing w:after="0"/>
              <w:rPr>
                <w:sz w:val="20"/>
                <w:szCs w:val="20"/>
                <w:color w:val="auto"/>
              </w:rPr>
            </w:pPr>
            <w:r>
              <w:rPr>
                <w:rFonts w:ascii="Times New Roman" w:cs="Times New Roman" w:eastAsia="Times New Roman" w:hAnsi="Times New Roman"/>
                <w:sz w:val="18"/>
                <w:szCs w:val="18"/>
                <w:color w:val="auto"/>
                <w:w w:val="97"/>
              </w:rPr>
              <w:t>3.1</w:t>
            </w:r>
          </w:p>
        </w:tc>
        <w:tc>
          <w:tcPr>
            <w:tcW w:w="9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Amended and Restated Certificate of Incorporation, as amended (incorporated herein by reference to Exhibit 3.1 to the Company’s</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9860" w:type="dxa"/>
            <w:vAlign w:val="bottom"/>
            <w:gridSpan w:val="4"/>
            <w:vMerge w:val="restart"/>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Annual Report on Form 10-K (File No. 001-40215), filed with the SEC on March 21,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67"/>
        </w:trPr>
        <w:tc>
          <w:tcPr>
            <w:tcW w:w="820" w:type="dxa"/>
            <w:vAlign w:val="bottom"/>
          </w:tcPr>
          <w:p>
            <w:pPr>
              <w:spacing w:after="0"/>
              <w:rPr>
                <w:sz w:val="5"/>
                <w:szCs w:val="5"/>
                <w:color w:val="auto"/>
              </w:rPr>
            </w:pPr>
          </w:p>
        </w:tc>
        <w:tc>
          <w:tcPr>
            <w:tcW w:w="9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vMerge w:val="restart"/>
          </w:tcPr>
          <w:p>
            <w:pPr>
              <w:jc w:val="center"/>
              <w:ind w:right="239"/>
              <w:spacing w:after="0"/>
              <w:rPr>
                <w:sz w:val="20"/>
                <w:szCs w:val="20"/>
                <w:color w:val="auto"/>
              </w:rPr>
            </w:pPr>
            <w:r>
              <w:rPr>
                <w:rFonts w:ascii="Times New Roman" w:cs="Times New Roman" w:eastAsia="Times New Roman" w:hAnsi="Times New Roman"/>
                <w:sz w:val="18"/>
                <w:szCs w:val="18"/>
                <w:color w:val="auto"/>
                <w:w w:val="97"/>
              </w:rPr>
              <w:t>3.2</w:t>
            </w:r>
          </w:p>
        </w:tc>
        <w:tc>
          <w:tcPr>
            <w:tcW w:w="98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Amended and Restated Bylaws (incorporated herein by reference to Exhibit 3.2 to the Company’s Current Report on Form 8-K (File No.</w:t>
              </w:r>
            </w:hyperlink>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9860" w:type="dxa"/>
            <w:vAlign w:val="bottom"/>
            <w:gridSpan w:val="4"/>
            <w:vMerge w:val="restart"/>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001-40215), filed with the SEC on March 23, 2021).</w:t>
              </w:r>
            </w:hyperlink>
          </w:p>
        </w:tc>
        <w:tc>
          <w:tcPr>
            <w:tcW w:w="0" w:type="dxa"/>
            <w:vAlign w:val="bottom"/>
          </w:tcPr>
          <w:p>
            <w:pPr>
              <w:spacing w:after="0"/>
              <w:rPr>
                <w:sz w:val="1"/>
                <w:szCs w:val="1"/>
                <w:color w:val="auto"/>
              </w:rPr>
            </w:pPr>
          </w:p>
        </w:tc>
      </w:tr>
      <w:tr>
        <w:trPr>
          <w:trHeight w:val="67"/>
        </w:trPr>
        <w:tc>
          <w:tcPr>
            <w:tcW w:w="820" w:type="dxa"/>
            <w:vAlign w:val="bottom"/>
          </w:tcPr>
          <w:p>
            <w:pPr>
              <w:spacing w:after="0"/>
              <w:rPr>
                <w:sz w:val="5"/>
                <w:szCs w:val="5"/>
                <w:color w:val="auto"/>
              </w:rPr>
            </w:pPr>
          </w:p>
        </w:tc>
        <w:tc>
          <w:tcPr>
            <w:tcW w:w="9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10973"/>
          </w:cols>
          <w:pgMar w:left="327" w:top="1440" w:right="599" w:bottom="1440" w:gutter="0" w:footer="0" w:header="0"/>
        </w:sectPr>
      </w:pPr>
    </w:p>
    <w:p>
      <w:pPr>
        <w:spacing w:after="0" w:line="108" w:lineRule="exact"/>
        <w:rPr>
          <w:sz w:val="20"/>
          <w:szCs w:val="20"/>
          <w:color w:val="auto"/>
        </w:rPr>
      </w:pPr>
    </w:p>
    <w:p>
      <w:pPr>
        <w:jc w:val="center"/>
        <w:ind w:left="353"/>
        <w:spacing w:after="0"/>
        <w:rPr>
          <w:sz w:val="20"/>
          <w:szCs w:val="20"/>
          <w:color w:val="auto"/>
        </w:rPr>
      </w:pPr>
      <w:r>
        <w:rPr>
          <w:rFonts w:ascii="Times New Roman" w:cs="Times New Roman" w:eastAsia="Times New Roman" w:hAnsi="Times New Roman"/>
          <w:sz w:val="17"/>
          <w:szCs w:val="17"/>
          <w:color w:val="auto"/>
        </w:rPr>
        <w:t>31.1*</w:t>
      </w:r>
    </w:p>
    <w:p>
      <w:pPr>
        <w:spacing w:after="0" w:line="291" w:lineRule="exact"/>
        <w:rPr>
          <w:sz w:val="20"/>
          <w:szCs w:val="20"/>
          <w:color w:val="auto"/>
        </w:rPr>
      </w:pPr>
    </w:p>
    <w:p>
      <w:pPr>
        <w:jc w:val="center"/>
        <w:ind w:left="353"/>
        <w:spacing w:after="0"/>
        <w:rPr>
          <w:sz w:val="20"/>
          <w:szCs w:val="20"/>
          <w:color w:val="auto"/>
        </w:rPr>
      </w:pPr>
      <w:r>
        <w:rPr>
          <w:rFonts w:ascii="Times New Roman" w:cs="Times New Roman" w:eastAsia="Times New Roman" w:hAnsi="Times New Roman"/>
          <w:sz w:val="17"/>
          <w:szCs w:val="17"/>
          <w:color w:val="auto"/>
        </w:rPr>
        <w:t>31.2*</w:t>
      </w:r>
    </w:p>
    <w:p>
      <w:pPr>
        <w:spacing w:after="0" w:line="291" w:lineRule="exact"/>
        <w:rPr>
          <w:sz w:val="20"/>
          <w:szCs w:val="20"/>
          <w:color w:val="auto"/>
        </w:rPr>
      </w:pPr>
    </w:p>
    <w:p>
      <w:pPr>
        <w:jc w:val="center"/>
        <w:ind w:left="353"/>
        <w:spacing w:after="0"/>
        <w:rPr>
          <w:sz w:val="20"/>
          <w:szCs w:val="20"/>
          <w:color w:val="auto"/>
        </w:rPr>
      </w:pPr>
      <w:r>
        <w:rPr>
          <w:rFonts w:ascii="Times New Roman" w:cs="Times New Roman" w:eastAsia="Times New Roman" w:hAnsi="Times New Roman"/>
          <w:sz w:val="17"/>
          <w:szCs w:val="17"/>
          <w:color w:val="auto"/>
        </w:rPr>
        <w:t>32.1#</w:t>
      </w:r>
    </w:p>
    <w:p>
      <w:pPr>
        <w:spacing w:after="0" w:line="291" w:lineRule="exact"/>
        <w:rPr>
          <w:sz w:val="20"/>
          <w:szCs w:val="20"/>
          <w:color w:val="auto"/>
        </w:rPr>
      </w:pPr>
    </w:p>
    <w:p>
      <w:pPr>
        <w:jc w:val="center"/>
        <w:ind w:left="353"/>
        <w:spacing w:after="0"/>
        <w:rPr>
          <w:sz w:val="20"/>
          <w:szCs w:val="20"/>
          <w:color w:val="auto"/>
        </w:rPr>
      </w:pPr>
      <w:r>
        <w:rPr>
          <w:rFonts w:ascii="Times New Roman" w:cs="Times New Roman" w:eastAsia="Times New Roman" w:hAnsi="Times New Roman"/>
          <w:sz w:val="17"/>
          <w:szCs w:val="17"/>
          <w:color w:val="auto"/>
        </w:rPr>
        <w:t>32.2#</w:t>
      </w:r>
    </w:p>
    <w:p>
      <w:pPr>
        <w:spacing w:after="0" w:line="20" w:lineRule="exact"/>
        <w:rPr>
          <w:sz w:val="20"/>
          <w:szCs w:val="20"/>
          <w:color w:val="auto"/>
        </w:rPr>
      </w:pPr>
      <w:r>
        <w:rPr>
          <w:sz w:val="20"/>
          <w:szCs w:val="20"/>
          <w:color w:val="auto"/>
        </w:rPr>
        <w:br w:type="column"/>
      </w:r>
    </w:p>
    <w:p>
      <w:pPr>
        <w:ind w:right="24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4" w:lineRule="exact"/>
        <w:rPr>
          <w:sz w:val="20"/>
          <w:szCs w:val="20"/>
          <w:color w:val="auto"/>
        </w:rPr>
      </w:pPr>
    </w:p>
    <w:p>
      <w:pPr>
        <w:sectPr>
          <w:pgSz w:w="11900" w:h="16838" w:orient="portrait"/>
          <w:cols w:equalWidth="0" w:num="2">
            <w:col w:w="753" w:space="360"/>
            <w:col w:w="9860"/>
          </w:cols>
          <w:pgMar w:left="327" w:top="1440" w:right="599" w:bottom="1440" w:gutter="0" w:footer="0" w:header="0"/>
          <w:type w:val="continuous"/>
        </w:sectPr>
      </w:pPr>
    </w:p>
    <w:p>
      <w:pPr>
        <w:ind w:left="1113" w:right="140"/>
        <w:spacing w:after="0" w:line="274" w:lineRule="auto"/>
        <w:rPr>
          <w:sz w:val="20"/>
          <w:szCs w:val="20"/>
          <w:color w:val="auto"/>
        </w:rPr>
      </w:pPr>
      <w:r>
        <w:rPr>
          <w:rFonts w:ascii="Times New Roman" w:cs="Times New Roman" w:eastAsia="Times New Roman" w:hAnsi="Times New Roman"/>
          <w:sz w:val="17"/>
          <w:szCs w:val="17"/>
          <w:color w:val="auto"/>
        </w:rPr>
        <w:t>The following financial information from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s Quarterly Report on Form 10-Q for the quarter ended March 31, 2026 formatted in Inline XBRL (Extensible Business Reporting Language) includes: (i) the Condensed Consolidated Balance Sheets, (ii) the</w:t>
      </w:r>
    </w:p>
    <w:p>
      <w:pPr>
        <w:spacing w:after="0" w:line="1" w:lineRule="exact"/>
        <w:rPr>
          <w:sz w:val="20"/>
          <w:szCs w:val="20"/>
          <w:color w:val="auto"/>
        </w:rPr>
      </w:pPr>
    </w:p>
    <w:p>
      <w:pPr>
        <w:ind w:left="1113" w:right="600" w:hanging="700"/>
        <w:spacing w:after="0" w:line="259" w:lineRule="auto"/>
        <w:tabs>
          <w:tab w:leader="none" w:pos="11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 and Comprehensive Loss, (iii) the Condensed Consolidated Statements of Stockholders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Equity, (iv) the Condensed Consolidated Statements of Cash Flows, and (v) Notes to the Condensed Consolidated Financial Statements.</w:t>
      </w:r>
    </w:p>
    <w:p>
      <w:pPr>
        <w:spacing w:after="0" w:line="30" w:lineRule="exact"/>
        <w:rPr>
          <w:sz w:val="20"/>
          <w:szCs w:val="20"/>
          <w:color w:val="auto"/>
        </w:rPr>
      </w:pPr>
    </w:p>
    <w:p>
      <w:pPr>
        <w:ind w:left="-7" w:right="3340" w:firstLine="420"/>
        <w:spacing w:after="0" w:line="433" w:lineRule="auto"/>
        <w:tabs>
          <w:tab w:leader="none" w:pos="110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9862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ind w:left="433" w:hanging="433"/>
        <w:spacing w:after="0" w:line="253"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on Form 10-Q pursuant to 18 U.S.C. Section 1350, as adopted pursuant to Section 906 of the Sarbanes-Oxley Act of 2002, and shall not be deemed “filed” by the registrant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3"/>
          </w:cols>
          <w:pgMar w:left="327" w:top="1440" w:right="599" w:bottom="1440" w:gutter="0" w:footer="0" w:header="0"/>
          <w:type w:val="continuous"/>
        </w:sectPr>
      </w:pPr>
    </w:p>
    <w:bookmarkStart w:id="32" w:name="page33"/>
    <w:bookmarkEnd w:id="3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337" w:lineRule="exact"/>
        <w:rPr>
          <w:sz w:val="20"/>
          <w:szCs w:val="20"/>
          <w:color w:val="auto"/>
        </w:rPr>
      </w:pPr>
    </w:p>
    <w:p>
      <w:pPr>
        <w:ind w:left="460"/>
        <w:spacing w:after="0"/>
        <w:tabs>
          <w:tab w:leader="none" w:pos="4860" w:val="left"/>
          <w:tab w:leader="none" w:pos="5600" w:val="left"/>
        </w:tabs>
        <w:rPr>
          <w:sz w:val="20"/>
          <w:szCs w:val="20"/>
          <w:color w:val="auto"/>
        </w:rPr>
      </w:pPr>
      <w:r>
        <w:rPr>
          <w:rFonts w:ascii="Times New Roman" w:cs="Times New Roman" w:eastAsia="Times New Roman" w:hAnsi="Times New Roman"/>
          <w:sz w:val="18"/>
          <w:szCs w:val="18"/>
          <w:color w:val="auto"/>
        </w:rPr>
        <w:t>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Sandeep Laumas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0943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Sandeep Laumas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(On behalf of the registrant and in his capacity as Principal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Financial Officer and Principal Accounting Officer)</w:t>
      </w:r>
    </w:p>
    <w:p>
      <w:pPr>
        <w:sectPr>
          <w:pgSz w:w="11900" w:h="16838" w:orient="portrait"/>
          <w:cols w:equalWidth="0" w:num="1">
            <w:col w:w="10680"/>
          </w:cols>
          <w:pgMar w:left="320" w:top="117" w:right="8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Bronson Crouch, certify that:</w:t>
      </w:r>
    </w:p>
    <w:p>
      <w:pPr>
        <w:spacing w:after="0" w:line="158" w:lineRule="exact"/>
        <w:rPr>
          <w:sz w:val="20"/>
          <w:szCs w:val="20"/>
          <w:color w:val="auto"/>
        </w:rPr>
      </w:pPr>
    </w:p>
    <w:p>
      <w:pPr>
        <w:ind w:left="480" w:hanging="454"/>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Instil Bio, Inc.;</w:t>
      </w:r>
    </w:p>
    <w:p>
      <w:pPr>
        <w:spacing w:after="0" w:line="360" w:lineRule="exact"/>
        <w:rPr>
          <w:rFonts w:ascii="Times New Roman" w:cs="Times New Roman" w:eastAsia="Times New Roman" w:hAnsi="Times New Roman"/>
          <w:sz w:val="18"/>
          <w:szCs w:val="18"/>
          <w:color w:val="auto"/>
        </w:rPr>
      </w:pPr>
    </w:p>
    <w:p>
      <w:pPr>
        <w:jc w:val="both"/>
        <w:ind w:left="480" w:right="300" w:hanging="454"/>
        <w:spacing w:after="0" w:line="226"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3" w:lineRule="exact"/>
        <w:rPr>
          <w:rFonts w:ascii="Times New Roman" w:cs="Times New Roman" w:eastAsia="Times New Roman" w:hAnsi="Times New Roman"/>
          <w:sz w:val="18"/>
          <w:szCs w:val="18"/>
          <w:color w:val="auto"/>
        </w:rPr>
      </w:pPr>
    </w:p>
    <w:p>
      <w:pPr>
        <w:ind w:left="480" w:right="260" w:hanging="454"/>
        <w:spacing w:after="0" w:line="250"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4" w:lineRule="exact"/>
        <w:rPr>
          <w:rFonts w:ascii="Times New Roman" w:cs="Times New Roman" w:eastAsia="Times New Roman" w:hAnsi="Times New Roman"/>
          <w:sz w:val="18"/>
          <w:szCs w:val="18"/>
          <w:color w:val="auto"/>
        </w:rPr>
      </w:pPr>
    </w:p>
    <w:p>
      <w:pPr>
        <w:ind w:left="480" w:right="300" w:hanging="454"/>
        <w:spacing w:after="0" w:line="231"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3" w:lineRule="exact"/>
        <w:rPr>
          <w:rFonts w:ascii="Times New Roman" w:cs="Times New Roman" w:eastAsia="Times New Roman" w:hAnsi="Times New Roman"/>
          <w:sz w:val="18"/>
          <w:szCs w:val="18"/>
          <w:color w:val="auto"/>
        </w:rPr>
      </w:pPr>
    </w:p>
    <w:p>
      <w:pPr>
        <w:ind w:left="940" w:right="100" w:hanging="469"/>
        <w:spacing w:after="0" w:line="226" w:lineRule="auto"/>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5" w:lineRule="exact"/>
        <w:rPr>
          <w:rFonts w:ascii="Times New Roman" w:cs="Times New Roman" w:eastAsia="Times New Roman" w:hAnsi="Times New Roman"/>
          <w:sz w:val="18"/>
          <w:szCs w:val="18"/>
          <w:color w:val="auto"/>
        </w:rPr>
      </w:pPr>
    </w:p>
    <w:p>
      <w:pPr>
        <w:ind w:left="940" w:right="420" w:hanging="469"/>
        <w:spacing w:after="0" w:line="231" w:lineRule="auto"/>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Times New Roman" w:cs="Times New Roman" w:eastAsia="Times New Roman" w:hAnsi="Times New Roman"/>
          <w:sz w:val="18"/>
          <w:szCs w:val="18"/>
          <w:color w:val="auto"/>
        </w:rPr>
      </w:pPr>
    </w:p>
    <w:p>
      <w:pPr>
        <w:jc w:val="both"/>
        <w:ind w:left="940" w:right="580" w:hanging="469"/>
        <w:spacing w:after="0" w:line="263" w:lineRule="auto"/>
        <w:tabs>
          <w:tab w:leader="none" w:pos="9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7" w:lineRule="exact"/>
        <w:rPr>
          <w:rFonts w:ascii="Times New Roman" w:cs="Times New Roman" w:eastAsia="Times New Roman" w:hAnsi="Times New Roman"/>
          <w:sz w:val="17"/>
          <w:szCs w:val="17"/>
          <w:color w:val="auto"/>
        </w:rPr>
      </w:pPr>
    </w:p>
    <w:p>
      <w:pPr>
        <w:ind w:left="940" w:right="100" w:hanging="469"/>
        <w:spacing w:after="0" w:line="226" w:lineRule="auto"/>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33" w:lineRule="exact"/>
        <w:rPr>
          <w:rFonts w:ascii="Times New Roman" w:cs="Times New Roman" w:eastAsia="Times New Roman" w:hAnsi="Times New Roman"/>
          <w:sz w:val="18"/>
          <w:szCs w:val="18"/>
          <w:color w:val="auto"/>
        </w:rPr>
      </w:pPr>
    </w:p>
    <w:p>
      <w:pPr>
        <w:ind w:left="480" w:right="180" w:hanging="454"/>
        <w:spacing w:after="0" w:line="250"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4" w:lineRule="exact"/>
        <w:rPr>
          <w:rFonts w:ascii="Times New Roman" w:cs="Times New Roman" w:eastAsia="Times New Roman" w:hAnsi="Times New Roman"/>
          <w:sz w:val="18"/>
          <w:szCs w:val="18"/>
          <w:color w:val="auto"/>
        </w:rPr>
      </w:pPr>
    </w:p>
    <w:p>
      <w:pPr>
        <w:ind w:left="940" w:right="820" w:hanging="469"/>
        <w:spacing w:after="0" w:line="237" w:lineRule="auto"/>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7" w:lineRule="exact"/>
        <w:rPr>
          <w:rFonts w:ascii="Times New Roman" w:cs="Times New Roman" w:eastAsia="Times New Roman" w:hAnsi="Times New Roman"/>
          <w:sz w:val="18"/>
          <w:szCs w:val="18"/>
          <w:color w:val="auto"/>
        </w:rPr>
      </w:pPr>
    </w:p>
    <w:p>
      <w:pPr>
        <w:ind w:left="940" w:right="520" w:hanging="469"/>
        <w:spacing w:after="0" w:line="237" w:lineRule="auto"/>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13" w:right="33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619"/>
        <w:spacing w:after="0"/>
        <w:rPr>
          <w:sz w:val="20"/>
          <w:szCs w:val="20"/>
          <w:color w:val="auto"/>
        </w:rPr>
      </w:pPr>
      <w:r>
        <w:rPr>
          <w:rFonts w:ascii="Times New Roman" w:cs="Times New Roman" w:eastAsia="Times New Roman" w:hAnsi="Times New Roman"/>
          <w:sz w:val="18"/>
          <w:szCs w:val="18"/>
          <w:color w:val="auto"/>
        </w:rPr>
        <w:t>/s/ Bronson Crouch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8" w:lineRule="exact"/>
        <w:rPr>
          <w:sz w:val="20"/>
          <w:szCs w:val="20"/>
          <w:color w:val="auto"/>
        </w:rPr>
      </w:pPr>
    </w:p>
    <w:p>
      <w:pPr>
        <w:jc w:val="center"/>
        <w:ind w:right="5619"/>
        <w:spacing w:after="0"/>
        <w:rPr>
          <w:sz w:val="20"/>
          <w:szCs w:val="20"/>
          <w:color w:val="auto"/>
        </w:rPr>
      </w:pPr>
      <w:r>
        <w:rPr>
          <w:rFonts w:ascii="Times New Roman" w:cs="Times New Roman" w:eastAsia="Times New Roman" w:hAnsi="Times New Roman"/>
          <w:sz w:val="13"/>
          <w:szCs w:val="13"/>
          <w:b w:val="1"/>
          <w:bCs w:val="1"/>
          <w:color w:val="auto"/>
        </w:rPr>
        <w:t>Bronson Crouch</w:t>
      </w:r>
    </w:p>
    <w:p>
      <w:pPr>
        <w:spacing w:after="0" w:line="50" w:lineRule="exact"/>
        <w:rPr>
          <w:sz w:val="20"/>
          <w:szCs w:val="20"/>
          <w:color w:val="auto"/>
        </w:rPr>
      </w:pPr>
    </w:p>
    <w:p>
      <w:pPr>
        <w:jc w:val="right"/>
        <w:ind w:right="6459"/>
        <w:spacing w:after="0"/>
        <w:rPr>
          <w:sz w:val="20"/>
          <w:szCs w:val="20"/>
          <w:color w:val="auto"/>
        </w:rPr>
      </w:pPr>
      <w:r>
        <w:rPr>
          <w:rFonts w:ascii="Times New Roman" w:cs="Times New Roman" w:eastAsia="Times New Roman" w:hAnsi="Times New Roman"/>
          <w:sz w:val="13"/>
          <w:szCs w:val="13"/>
          <w:b w:val="1"/>
          <w:bCs w:val="1"/>
          <w:color w:val="auto"/>
        </w:rPr>
        <w:t>Chief Executive Officer (Principal Executive Officer)</w:t>
      </w:r>
    </w:p>
    <w:p>
      <w:pPr>
        <w:sectPr>
          <w:pgSz w:w="11900" w:h="16838" w:orient="portrait"/>
          <w:cols w:equalWidth="0" w:num="1">
            <w:col w:w="10139"/>
          </w:cols>
          <w:pgMar w:left="320" w:top="1440"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Sandeep Laumas, certify that:</w:t>
      </w:r>
    </w:p>
    <w:p>
      <w:pPr>
        <w:spacing w:after="0" w:line="158" w:lineRule="exact"/>
        <w:rPr>
          <w:sz w:val="20"/>
          <w:szCs w:val="20"/>
          <w:color w:val="auto"/>
        </w:rPr>
      </w:pPr>
    </w:p>
    <w:p>
      <w:pPr>
        <w:ind w:left="480" w:hanging="454"/>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Instil Bio, Inc.;</w:t>
      </w:r>
    </w:p>
    <w:p>
      <w:pPr>
        <w:spacing w:after="0" w:line="360" w:lineRule="exact"/>
        <w:rPr>
          <w:rFonts w:ascii="Times New Roman" w:cs="Times New Roman" w:eastAsia="Times New Roman" w:hAnsi="Times New Roman"/>
          <w:sz w:val="18"/>
          <w:szCs w:val="18"/>
          <w:color w:val="auto"/>
        </w:rPr>
      </w:pPr>
    </w:p>
    <w:p>
      <w:pPr>
        <w:jc w:val="both"/>
        <w:ind w:left="480" w:right="300" w:hanging="454"/>
        <w:spacing w:after="0" w:line="226"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3" w:lineRule="exact"/>
        <w:rPr>
          <w:rFonts w:ascii="Times New Roman" w:cs="Times New Roman" w:eastAsia="Times New Roman" w:hAnsi="Times New Roman"/>
          <w:sz w:val="18"/>
          <w:szCs w:val="18"/>
          <w:color w:val="auto"/>
        </w:rPr>
      </w:pPr>
    </w:p>
    <w:p>
      <w:pPr>
        <w:ind w:left="480" w:right="260" w:hanging="454"/>
        <w:spacing w:after="0" w:line="250"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4" w:lineRule="exact"/>
        <w:rPr>
          <w:rFonts w:ascii="Times New Roman" w:cs="Times New Roman" w:eastAsia="Times New Roman" w:hAnsi="Times New Roman"/>
          <w:sz w:val="18"/>
          <w:szCs w:val="18"/>
          <w:color w:val="auto"/>
        </w:rPr>
      </w:pPr>
    </w:p>
    <w:p>
      <w:pPr>
        <w:ind w:left="480" w:right="300" w:hanging="454"/>
        <w:spacing w:after="0" w:line="231"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3" w:lineRule="exact"/>
        <w:rPr>
          <w:rFonts w:ascii="Times New Roman" w:cs="Times New Roman" w:eastAsia="Times New Roman" w:hAnsi="Times New Roman"/>
          <w:sz w:val="18"/>
          <w:szCs w:val="18"/>
          <w:color w:val="auto"/>
        </w:rPr>
      </w:pPr>
    </w:p>
    <w:p>
      <w:pPr>
        <w:ind w:left="940" w:right="100" w:hanging="469"/>
        <w:spacing w:after="0" w:line="226" w:lineRule="auto"/>
        <w:tabs>
          <w:tab w:leader="none" w:pos="9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5" w:lineRule="exact"/>
        <w:rPr>
          <w:rFonts w:ascii="Times New Roman" w:cs="Times New Roman" w:eastAsia="Times New Roman" w:hAnsi="Times New Roman"/>
          <w:sz w:val="18"/>
          <w:szCs w:val="18"/>
          <w:color w:val="auto"/>
        </w:rPr>
      </w:pPr>
    </w:p>
    <w:p>
      <w:pPr>
        <w:ind w:left="940" w:right="420" w:hanging="469"/>
        <w:spacing w:after="0" w:line="231" w:lineRule="auto"/>
        <w:tabs>
          <w:tab w:leader="none" w:pos="9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Times New Roman" w:cs="Times New Roman" w:eastAsia="Times New Roman" w:hAnsi="Times New Roman"/>
          <w:sz w:val="18"/>
          <w:szCs w:val="18"/>
          <w:color w:val="auto"/>
        </w:rPr>
      </w:pPr>
    </w:p>
    <w:p>
      <w:pPr>
        <w:jc w:val="both"/>
        <w:ind w:left="940" w:right="580" w:hanging="469"/>
        <w:spacing w:after="0" w:line="263" w:lineRule="auto"/>
        <w:tabs>
          <w:tab w:leader="none" w:pos="9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7" w:lineRule="exact"/>
        <w:rPr>
          <w:rFonts w:ascii="Times New Roman" w:cs="Times New Roman" w:eastAsia="Times New Roman" w:hAnsi="Times New Roman"/>
          <w:sz w:val="17"/>
          <w:szCs w:val="17"/>
          <w:color w:val="auto"/>
        </w:rPr>
      </w:pPr>
    </w:p>
    <w:p>
      <w:pPr>
        <w:ind w:left="940" w:right="100" w:hanging="469"/>
        <w:spacing w:after="0" w:line="226" w:lineRule="auto"/>
        <w:tabs>
          <w:tab w:leader="none" w:pos="9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33" w:lineRule="exact"/>
        <w:rPr>
          <w:rFonts w:ascii="Times New Roman" w:cs="Times New Roman" w:eastAsia="Times New Roman" w:hAnsi="Times New Roman"/>
          <w:sz w:val="18"/>
          <w:szCs w:val="18"/>
          <w:color w:val="auto"/>
        </w:rPr>
      </w:pPr>
    </w:p>
    <w:p>
      <w:pPr>
        <w:ind w:left="480" w:right="180" w:hanging="454"/>
        <w:spacing w:after="0" w:line="250"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4" w:lineRule="exact"/>
        <w:rPr>
          <w:rFonts w:ascii="Times New Roman" w:cs="Times New Roman" w:eastAsia="Times New Roman" w:hAnsi="Times New Roman"/>
          <w:sz w:val="18"/>
          <w:szCs w:val="18"/>
          <w:color w:val="auto"/>
        </w:rPr>
      </w:pPr>
    </w:p>
    <w:p>
      <w:pPr>
        <w:ind w:left="940" w:right="820" w:hanging="469"/>
        <w:spacing w:after="0" w:line="237" w:lineRule="auto"/>
        <w:tabs>
          <w:tab w:leader="none" w:pos="9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7" w:lineRule="exact"/>
        <w:rPr>
          <w:rFonts w:ascii="Times New Roman" w:cs="Times New Roman" w:eastAsia="Times New Roman" w:hAnsi="Times New Roman"/>
          <w:sz w:val="18"/>
          <w:szCs w:val="18"/>
          <w:color w:val="auto"/>
        </w:rPr>
      </w:pPr>
    </w:p>
    <w:p>
      <w:pPr>
        <w:ind w:left="940" w:right="520" w:hanging="469"/>
        <w:spacing w:after="0" w:line="237" w:lineRule="auto"/>
        <w:tabs>
          <w:tab w:leader="none" w:pos="9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13" w:right="339"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539"/>
        <w:spacing w:after="0"/>
        <w:rPr>
          <w:sz w:val="20"/>
          <w:szCs w:val="20"/>
          <w:color w:val="auto"/>
        </w:rPr>
      </w:pPr>
      <w:r>
        <w:rPr>
          <w:rFonts w:ascii="Times New Roman" w:cs="Times New Roman" w:eastAsia="Times New Roman" w:hAnsi="Times New Roman"/>
          <w:sz w:val="18"/>
          <w:szCs w:val="18"/>
          <w:color w:val="auto"/>
        </w:rPr>
        <w:t>/s/ Sandeep Laumas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854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8" w:lineRule="exact"/>
        <w:rPr>
          <w:sz w:val="20"/>
          <w:szCs w:val="20"/>
          <w:color w:val="auto"/>
        </w:rPr>
      </w:pPr>
    </w:p>
    <w:p>
      <w:pPr>
        <w:jc w:val="center"/>
        <w:ind w:right="5539"/>
        <w:spacing w:after="0"/>
        <w:rPr>
          <w:sz w:val="20"/>
          <w:szCs w:val="20"/>
          <w:color w:val="auto"/>
        </w:rPr>
      </w:pPr>
      <w:r>
        <w:rPr>
          <w:rFonts w:ascii="Times New Roman" w:cs="Times New Roman" w:eastAsia="Times New Roman" w:hAnsi="Times New Roman"/>
          <w:sz w:val="13"/>
          <w:szCs w:val="13"/>
          <w:b w:val="1"/>
          <w:bCs w:val="1"/>
          <w:color w:val="auto"/>
        </w:rPr>
        <w:t>Sandeep Laumas</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Chief Financial Officer and Chief Business Officer (Principal Financial Officer)</w:t>
      </w:r>
    </w:p>
    <w:p>
      <w:pPr>
        <w:sectPr>
          <w:pgSz w:w="11900" w:h="16838" w:orient="portrait"/>
          <w:cols w:equalWidth="0" w:num="1">
            <w:col w:w="10139"/>
          </w:cols>
          <w:pgMar w:left="320" w:top="1440"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Instil Bio, Inc. (the “Company”) on Form 10-Q for the quarter ended March 31, 2026 as filed with the Securities and Exchange Commission on the date hereof (the “Report”), I, Bronson Crouch, Chief Executive Officer of the Company, certify, pursuant to 18 U.S.C. Section 1350, as adopted pursuant to Section 906 of the Sarbanes-Oxley Act of 2002, that, to my knowledge:</w:t>
      </w:r>
    </w:p>
    <w:p>
      <w:pPr>
        <w:spacing w:after="0" w:line="365" w:lineRule="exact"/>
        <w:rPr>
          <w:sz w:val="20"/>
          <w:szCs w:val="20"/>
          <w:color w:val="auto"/>
        </w:rPr>
      </w:pPr>
    </w:p>
    <w:p>
      <w:pPr>
        <w:ind w:left="940" w:right="40" w:hanging="469"/>
        <w:spacing w:after="0" w:line="297"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324" w:lineRule="exact"/>
        <w:rPr>
          <w:rFonts w:ascii="Times New Roman" w:cs="Times New Roman" w:eastAsia="Times New Roman" w:hAnsi="Times New Roman"/>
          <w:sz w:val="18"/>
          <w:szCs w:val="18"/>
          <w:color w:val="auto"/>
        </w:rPr>
      </w:pPr>
    </w:p>
    <w:p>
      <w:pPr>
        <w:ind w:left="940" w:right="640" w:hanging="469"/>
        <w:spacing w:after="0" w:line="297"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Bronson Crouch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197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Bronson Crouch</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374"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1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Instil Bio, Inc. (the “Company”) on Form 10-Q for the quarter ended March 31, 2026 as filed with the Securities and Exchange Commission on the date hereof (the “Report”), I, Sandeep Laumas, Chief Financial Officer of the Company, certify, pursuant to 18 U.S.C. Section 1350, as adopted pursuant to Section 906 of the Sarbanes-Oxley Act of 2002, that, to my knowledge:</w:t>
      </w:r>
    </w:p>
    <w:p>
      <w:pPr>
        <w:spacing w:after="0" w:line="365" w:lineRule="exact"/>
        <w:rPr>
          <w:sz w:val="20"/>
          <w:szCs w:val="20"/>
          <w:color w:val="auto"/>
        </w:rPr>
      </w:pPr>
    </w:p>
    <w:p>
      <w:pPr>
        <w:ind w:left="940" w:right="40" w:hanging="469"/>
        <w:spacing w:after="0" w:line="297"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324" w:lineRule="exact"/>
        <w:rPr>
          <w:rFonts w:ascii="Times New Roman" w:cs="Times New Roman" w:eastAsia="Times New Roman" w:hAnsi="Times New Roman"/>
          <w:sz w:val="18"/>
          <w:szCs w:val="18"/>
          <w:color w:val="auto"/>
        </w:rPr>
      </w:pPr>
    </w:p>
    <w:p>
      <w:pPr>
        <w:ind w:left="940" w:right="640" w:hanging="469"/>
        <w:spacing w:after="0" w:line="297"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Sandeep Laumas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197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Sandeep Laumas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28"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decimal"/>
      <w:start w:val="10"/>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01"/>
    </w:lvl>
  </w:abstractNum>
  <w:abstractNum w:abstractNumId="15">
    <w:nsid w:val="3F2DBA31"/>
    <w:multiLevelType w:val="hybridMultilevel"/>
    <w:lvl w:ilvl="0">
      <w:lvlJc w:val="left"/>
      <w:lvlText w:val="*"/>
      <w:numFmt w:val="bullet"/>
      <w:start w:val="1"/>
    </w:lvl>
    <w:lvl w:ilvl="1">
      <w:lvlJc w:val="left"/>
      <w:lvlText w:val="%2"/>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6" Type="http://schemas.openxmlformats.org/officeDocument/2006/relationships/hyperlink" Target="https://www.sec.gov/Archives/edgar/data/1789769/000178976924000036/amendedandrestatedcertific.htm" TargetMode="External"/><Relationship Id="rId47" Type="http://schemas.openxmlformats.org/officeDocument/2006/relationships/hyperlink" Target="https://www.sec.gov/Archives/edgar/data/1789769/000119312521091216/d13187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2026-05-15T07:35:47Z</dcterms:created>
  <dcterms:modified xsi:type="dcterms:W3CDTF">2026-05-15T07:35:47Z</dcterms:modified>
</cp:coreProperties>
</file>