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59"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Wingdings" w:cs="Wingdings" w:eastAsia="Wingdings" w:hAnsi="Wingdings"/>
          <w:sz w:val="14"/>
          <w:szCs w:val="14"/>
          <w:b w:val="1"/>
          <w:bCs w:val="1"/>
          <w:color w:val="auto"/>
          <w:highlight w:val="black"/>
        </w:rPr>
        <w:t>o</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85" w:lineRule="exact"/>
        <w:rPr>
          <w:sz w:val="24"/>
          <w:szCs w:val="24"/>
          <w:color w:val="auto"/>
        </w:rPr>
      </w:pPr>
    </w:p>
    <w:p>
      <w:pPr>
        <w:ind w:left="380" w:hanging="354"/>
        <w:spacing w:after="0"/>
        <w:tabs>
          <w:tab w:leader="none" w:pos="3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Preliminary Proxy Statement</w:t>
      </w:r>
    </w:p>
    <w:p>
      <w:pPr>
        <w:spacing w:after="0" w:line="68" w:lineRule="exact"/>
        <w:rPr>
          <w:rFonts w:ascii="Wingdings" w:cs="Wingdings" w:eastAsia="Wingdings" w:hAnsi="Wingdings"/>
          <w:sz w:val="14"/>
          <w:szCs w:val="14"/>
          <w:b w:val="1"/>
          <w:bCs w:val="1"/>
          <w:color w:val="auto"/>
        </w:rPr>
      </w:pPr>
    </w:p>
    <w:p>
      <w:pPr>
        <w:ind w:left="20" w:right="5079" w:firstLine="6"/>
        <w:spacing w:after="0" w:line="342" w:lineRule="auto"/>
        <w:tabs>
          <w:tab w:leader="none" w:pos="371"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 xml:space="preserve">Confidential, for Use of the Commission Only (as permitted by Rule 14a-6(e)(2)) </w:t>
      </w: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Definitive Proxy Statement</w:t>
      </w:r>
    </w:p>
    <w:p>
      <w:pPr>
        <w:ind w:left="380" w:hanging="354"/>
        <w:spacing w:after="0"/>
        <w:tabs>
          <w:tab w:leader="none" w:pos="3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68" w:lineRule="exact"/>
        <w:rPr>
          <w:rFonts w:ascii="Wingdings" w:cs="Wingdings" w:eastAsia="Wingdings" w:hAnsi="Wingdings"/>
          <w:sz w:val="14"/>
          <w:szCs w:val="14"/>
          <w:b w:val="1"/>
          <w:bCs w:val="1"/>
          <w:color w:val="auto"/>
        </w:rPr>
      </w:pPr>
    </w:p>
    <w:p>
      <w:pPr>
        <w:ind w:left="380" w:hanging="354"/>
        <w:spacing w:after="0"/>
        <w:tabs>
          <w:tab w:leader="none" w:pos="3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 240.14a-12</w:t>
      </w:r>
    </w:p>
    <w:p>
      <w:pPr>
        <w:spacing w:after="0" w:line="33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43"/>
          <w:szCs w:val="43"/>
          <w:b w:val="1"/>
          <w:bCs w:val="1"/>
          <w:color w:val="auto"/>
        </w:rPr>
        <w:t>Instil Bio, Inc.</w:t>
      </w:r>
    </w:p>
    <w:p>
      <w:pPr>
        <w:spacing w:after="0" w:line="5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3"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69" w:lineRule="exact"/>
        <w:rPr>
          <w:sz w:val="24"/>
          <w:szCs w:val="24"/>
          <w:color w:val="auto"/>
        </w:rPr>
      </w:pPr>
    </w:p>
    <w:p>
      <w:pPr>
        <w:ind w:left="380" w:hanging="354"/>
        <w:spacing w:after="0"/>
        <w:tabs>
          <w:tab w:leader="none" w:pos="3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69" w:lineRule="exact"/>
        <w:rPr>
          <w:sz w:val="24"/>
          <w:szCs w:val="24"/>
          <w:color w:val="auto"/>
        </w:rPr>
      </w:pPr>
    </w:p>
    <w:p>
      <w:pPr>
        <w:ind w:left="380" w:hanging="354"/>
        <w:spacing w:after="0"/>
        <w:tabs>
          <w:tab w:leader="none" w:pos="38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paid previously with preliminary materials</w:t>
      </w:r>
    </w:p>
    <w:p>
      <w:pPr>
        <w:spacing w:after="0" w:line="68" w:lineRule="exact"/>
        <w:rPr>
          <w:rFonts w:ascii="Wingdings" w:cs="Wingdings" w:eastAsia="Wingdings" w:hAnsi="Wingdings"/>
          <w:sz w:val="14"/>
          <w:szCs w:val="14"/>
          <w:b w:val="1"/>
          <w:bCs w:val="1"/>
          <w:color w:val="auto"/>
        </w:rPr>
      </w:pPr>
    </w:p>
    <w:p>
      <w:pPr>
        <w:ind w:left="380" w:hanging="354"/>
        <w:spacing w:after="0"/>
        <w:tabs>
          <w:tab w:leader="none" w:pos="38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2874010</wp:posOffset>
            </wp:positionH>
            <wp:positionV relativeFrom="page">
              <wp:posOffset>1049020</wp:posOffset>
            </wp:positionV>
            <wp:extent cx="1800225"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002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3963 Maple Avenue, Suite 350</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Dallas, Texas 75219</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June 11,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Stockholder:</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You are cordially invited to attend the 2026 Annual Meeting of Stockholders (the “Annual Meeting”) of </w:t>
      </w:r>
      <w:r>
        <w:rPr>
          <w:rFonts w:ascii="Times New Roman" w:cs="Times New Roman" w:eastAsia="Times New Roman" w:hAnsi="Times New Roman"/>
          <w:sz w:val="16"/>
          <w:szCs w:val="16"/>
          <w:b w:val="1"/>
          <w:bCs w:val="1"/>
          <w:color w:val="auto"/>
        </w:rPr>
        <w:t>INSTIL BIO, INC.</w:t>
      </w:r>
      <w:r>
        <w:rPr>
          <w:rFonts w:ascii="Times New Roman" w:cs="Times New Roman" w:eastAsia="Times New Roman" w:hAnsi="Times New Roman"/>
          <w:sz w:val="16"/>
          <w:szCs w:val="16"/>
          <w:color w:val="auto"/>
        </w:rPr>
        <w:t>, a Delaware corporation (the “Company”). The meeting will be held on Thursday, June 11, 2026 at 11:00 a.m., Central Time at our corporate headquarters located at 3963 Maple Avenue, Suite 350, Dallas, Texas 75219 for the following purposes:</w:t>
      </w:r>
    </w:p>
    <w:p>
      <w:pPr>
        <w:spacing w:after="0" w:line="81" w:lineRule="exact"/>
        <w:rPr>
          <w:sz w:val="20"/>
          <w:szCs w:val="20"/>
          <w:color w:val="auto"/>
        </w:rPr>
      </w:pPr>
    </w:p>
    <w:p>
      <w:pPr>
        <w:ind w:left="660" w:hanging="328"/>
        <w:spacing w:after="0" w:line="280"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the Board of Directors’ two director nominees, George Matcham and Neil Gibson, as Class II directors to hold office until the 2029 Annual Meeting of Stockholders.</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by the Audit Committee of the Board of Directors of RSM US LLP as the independent registered public accounting firm of the Company for the year ending December 31, 2026.</w:t>
      </w:r>
    </w:p>
    <w:p>
      <w:pPr>
        <w:spacing w:after="0" w:line="5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conduct any other business properly brought before the meeting.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p>
      <w:pPr>
        <w:spacing w:after="0" w:line="22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record date for the Annual Meeting is April 13, 2026 (the “Record Date”).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4057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Stockholders’ Meeting to Be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Held on June 11, 2026 at 11:00 a.m., Central Time.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proxy statement and annual report to stockholders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are available at </w:t>
      </w:r>
      <w:r>
        <w:rPr>
          <w:rFonts w:ascii="Times New Roman" w:cs="Times New Roman" w:eastAsia="Times New Roman" w:hAnsi="Times New Roman"/>
          <w:sz w:val="16"/>
          <w:szCs w:val="16"/>
          <w:i w:val="1"/>
          <w:iCs w:val="1"/>
          <w:color w:val="auto"/>
        </w:rPr>
        <w:t>http://www.proxyvote.com</w:t>
      </w:r>
      <w:r>
        <w:rPr>
          <w:rFonts w:ascii="Times New Roman" w:cs="Times New Roman" w:eastAsia="Times New Roman" w:hAnsi="Times New Roman"/>
          <w:sz w:val="16"/>
          <w:szCs w:val="16"/>
          <w:color w:val="auto"/>
        </w:rPr>
        <w: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Sandeep Laumas, M.D.</w:t>
      </w:r>
    </w:p>
    <w:p>
      <w:pPr>
        <w:spacing w:after="0"/>
        <w:rPr>
          <w:sz w:val="20"/>
          <w:szCs w:val="20"/>
          <w:color w:val="auto"/>
        </w:rPr>
      </w:pPr>
      <w:r>
        <w:rPr>
          <w:rFonts w:ascii="Times New Roman" w:cs="Times New Roman" w:eastAsia="Times New Roman" w:hAnsi="Times New Roman"/>
          <w:sz w:val="16"/>
          <w:szCs w:val="16"/>
          <w:color w:val="auto"/>
        </w:rPr>
        <w:t>Sandeep Laumas, M.D.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Chief Financial Officer and Chief Business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Dallas, TX</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057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668655"/>
                    </a:xfrm>
                    <a:prstGeom prst="rect">
                      <a:avLst/>
                    </a:prstGeom>
                    <a:noFill/>
                  </pic:spPr>
                </pic:pic>
              </a:graphicData>
            </a:graphic>
          </wp:anchor>
        </w:drawing>
      </w:r>
    </w:p>
    <w:p>
      <w:pPr>
        <w:spacing w:after="0" w:line="259" w:lineRule="exact"/>
        <w:rPr>
          <w:sz w:val="20"/>
          <w:szCs w:val="20"/>
          <w:color w:val="auto"/>
        </w:rPr>
      </w:pPr>
    </w:p>
    <w:p>
      <w:pPr>
        <w:jc w:val="both"/>
        <w:ind w:left="40" w:right="20"/>
        <w:spacing w:after="0" w:line="264" w:lineRule="auto"/>
        <w:rPr>
          <w:sz w:val="20"/>
          <w:szCs w:val="20"/>
          <w:color w:val="auto"/>
        </w:rPr>
      </w:pPr>
      <w:r>
        <w:rPr>
          <w:rFonts w:ascii="Times New Roman" w:cs="Times New Roman" w:eastAsia="Times New Roman" w:hAnsi="Times New Roman"/>
          <w:sz w:val="16"/>
          <w:szCs w:val="16"/>
          <w:b w:val="1"/>
          <w:bCs w:val="1"/>
          <w:color w:val="auto"/>
        </w:rPr>
        <w:t>You are cordially invited to attend the Annual Meeting. Whether or not you expect to attend the meeting, please vote over the telephone or the internet as instructed in these materials, or, if you receive a paper proxy card by mail, by completing and returning the proxy mailed to you as promptly as possible in order to ensure your vote is counted at the meeting. Even if you have voted by proxy, you may still vote if you attend the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r>
      <w:tr>
        <w:trPr>
          <w:trHeight w:val="468"/>
        </w:trPr>
        <w:tc>
          <w:tcPr>
            <w:tcW w:w="97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 ABOUT THESE PROXY MATERIALS AND VOTING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REGARDING THE BOARD OF DIRECTORS AND CORPORATE GOVERNANCE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Independence of the Board of Directors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Role of the Board in Risk Oversight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Meetings of the Board of Directors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Information Regarding Committees of the Board of Directors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Audit Committee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Compensation Committee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Stockholder Communications with the Board of Directors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Code of Ethics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Insider Trading Policy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Hedging Policy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Policies and Practices Related to the Grant of Certain Equity Awards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5"/>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PROPOSAL 2 RATIFICATION OF SELECTION OF INDEPENDENT REGISTERED PUBLIC ACCOUNTING FIRM</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Independent Registered Public Accounting Firm Fees and Services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Pre-Approval Policies and Procedures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Outstanding Equity Awards as of 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Clawback Policy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RELATED PERSONS AND INDEMNIFICATION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Related-Person Transactions Policy and Procedures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Certain Related-Person Transactions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Indemnification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HOUSEHOLDING OF PROXY MATERIALS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spacing w:after="0" w:line="1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3963 Maple Avenue, Suite 350</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Dallas, Texas 75219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25" w:lineRule="exact"/>
        <w:rPr>
          <w:sz w:val="20"/>
          <w:szCs w:val="20"/>
          <w:color w:val="auto"/>
        </w:rPr>
      </w:pPr>
    </w:p>
    <w:p>
      <w:pPr>
        <w:ind w:right="2240" w:firstLine="2235"/>
        <w:spacing w:after="0" w:line="503" w:lineRule="auto"/>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Why did I receive a notice regarding the availability of proxy materials on the internet?</w:t>
      </w: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Instil Bio, Inc. (the “Company” or “Instil Bio”) is soliciting your proxy to vote at the 2026 Annual Meeting of Stockholders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first mail the Notice to all stockholders of record and make this proxy statement and the form of proxy available to stockholders entitled to vote at the Annual Meeting on or about April 24,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13, 2026 (the “Record Date”) will be entitled to vote at the Annual Meeting. On the Record Date, there were 6,781,976 shares of common stock outstanding and entitled to vote. Whether or not you attend the Annual Meeting, it is important that you vote your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Instil Bio’s transfer agent, Equiniti Trust Company, LLC, then you are a stockholder of record. As a stockholder of record, you may vote during the Annual Meeting or vote by proxy. Whether or not you plan to attend the meeting, we urge you to vote by proxy over the telephone or through the internet as instructed below to ensure your vote is counted.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be instructed to obtain a legal proxy from your broker, bank or other nominee and to submit a copy in advance of the Annual Meeting. Further instructions will be provided to you as part of the registration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Thursday, June 11, 2026 at 11:00 a.m., Central Time, at our corporate headquarters located at 3963 Maple Avenue, Suite 350, Dallas, Texas 75219. No cameras, recording equipment, large bags, briefcases or packages will be permitted in the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admission to the Annual Meeting, you will need to provide valid government-issued photo identification (e.g., driver’s license or passport). If on the Record Date your shares were held in an account at a brokerage firm, bank or other similar agent rather than in your name, you will also need to provide proof of beneficial ownership as of the Record Date (e.g., your most recent account statement reflecting your stock ownership as of the Record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two matters scheduled for a vote:</w:t>
      </w:r>
    </w:p>
    <w:p>
      <w:pPr>
        <w:spacing w:after="0" w:line="229"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Board’s two director nominees, George Matcham and Neil Gibson, as Class II directors to hold office until the 2029 Annual Meeting of Stockholders (Proposal 1);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RSM US LLP as the independent registered public accounting firm of the Company for the year ending December 31, 2026 (Proposal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proxy card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or you may “Withhold” your vote for any nominee you specify. For Proposal 2, you may vote “For” or “Against” or abstain from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during the Annual Meeting, vote by proxy over the telephone, vote by proxy through the internet or vote by proxy using a proxy card that you may request or that we may elect to deliver at a later time. Whether or not you plan to attend the meeting, we urge you to vote by proxy to ensure your vote is counted. You may still attend the meeting even if you have already voted by proxy.</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prior to the meeting, simply complete, sign and date the proxy card that you may request or may be delivered to you and return it promptly in the envelope provided. If you return your signed proxy card to us before the Annual Meeting, we will vote your shares as you direct.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prior to the meeting, dial toll-free 1-800-690-6903 using a touch-tone phone and follow the recorded instructions. You will be asked to provide the control number from the Notice or proxy card. To ensure your vote is counted, your telephone vote must be received by 11:59 p.m., Eastern Time on June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2" w:lineRule="exact"/>
        <w:rPr>
          <w:sz w:val="20"/>
          <w:szCs w:val="20"/>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meeting, go to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to complete an electronic proxy card. You will be asked to provide the control number from the Notice or proxy card. To ensure your vote is counted, your internet vote must be received by 11:59 p.m., Eastern Time on June 10,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Notice containing voting instructions from that organization rather than from Instil Bio. To vote </w:t>
      </w:r>
      <w:r>
        <w:rPr>
          <w:rFonts w:ascii="Times New Roman" w:cs="Times New Roman" w:eastAsia="Times New Roman" w:hAnsi="Times New Roman"/>
          <w:sz w:val="18"/>
          <w:szCs w:val="18"/>
          <w:i w:val="1"/>
          <w:iCs w:val="1"/>
          <w:color w:val="auto"/>
        </w:rPr>
        <w:t>prior to the meeting</w:t>
      </w:r>
      <w:r>
        <w:rPr>
          <w:rFonts w:ascii="Times New Roman" w:cs="Times New Roman" w:eastAsia="Times New Roman" w:hAnsi="Times New Roman"/>
          <w:sz w:val="18"/>
          <w:szCs w:val="18"/>
          <w:color w:val="auto"/>
        </w:rPr>
        <w:t>, simply follow the voting instructions in the Notice to ensure that your vote is counted. To vote during the Annual Meeting, you may be required to obtain a valid proxy from your broker, bank or other agent. Follow the instructions from your broker, bank or other agent included with these proxy materials, or contact that organization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4057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23" w:lineRule="exact"/>
        <w:rPr>
          <w:sz w:val="20"/>
          <w:szCs w:val="20"/>
          <w:color w:val="auto"/>
        </w:rPr>
      </w:pPr>
    </w:p>
    <w:p>
      <w:pPr>
        <w:jc w:val="both"/>
        <w:ind w:left="40" w:right="2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held as of April 13, 2026.</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the proxy card that you may request or may be delivered to you, by telephone, through the internet or during the Annual Meeting, your shares will not be voted.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the two director nominees named on the proxy card and “For” the ratification of RSM US LLP as the Company’s independent registered public accounting firm for the year ending December 31, 2026. If any other matter is properly presented at the meeting, your proxyholder (one of the individuals named on your proxy card) will vote your shares using his best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applicable stock exchange rules, brokers, banks and other securities intermediaries may use their discretion to vote your “uninstructed” shares with respect to matters considered to be “routine” under such rules, but not with respect to “non-routine” matters. Proposal 1 is considered to be “non-routine” under such rules, meaning that your broker may not vote your shares on this proposal in the absence of your voting instructions. Proposal 2 is considered to be “routine” under such rules, meaning that if you do not return voting instructions to your broker by its deadline, your shares may be voted by your broker in its discretion on Proposal 2.</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at 3963 Maple Avenue, Suite 350, Dallas, Texas 75219.</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at the Annual Meeting. Simply attending the meeting will not, by itself, revoke your proxy.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25, 2026, to 3963 Maple Avenue, Suite 350, Dallas, Texas 75219. If you wish to nominate an individual for election at, or bring business other than through a stockholder proposal before, the 2027 Annual Meeting of Stockholders, you must deliver your notice to our Corporate Secretary at the address above between February 11, 2027 and March 13, 2027. If the date of next year’s Annual Meeting of Stockholders is advanced or delayed by more than 30 days from the anniversary of this year’s Annual Meeting, your notice will be timely if it is received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Your notice to the Corporate Secretary must set forth information specified in our Amended and Restated Bylaws (our “Bylaws”), including your name and address and the class and number of shares of our stock that you beneficially own.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also include, as to each matter proposed, the following: (1) a brief description of the business desired to be brought before such Annual Meeting and the reasons for conducting that business at the Annual Meeting and (2) any material interest you have in that business. If you propose to nominate an individual for election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3.2 to our Current Report on Form 8-K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001-40215), filed with the SEC on March 23, 2021.</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a director nominee other than our Board’s nominees must provide in their notice any additional information required by Rule 14a-19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Proposal 1, votes “For” and “Withhold” and broker non-votes; and, with respect to Proposal 2, votes “For” and “Against” and abstentions. Broker non-votes on Proposal 1 will have no effect and will not be counted towards the vote total for this proposal. We do not expect broker non-votes on Proposal 2. Abstentions on Proposal 2 will be counted towards the vote total for this proposal and will have the same effect as “Against” 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applicable stock exchange rules, the broker, bank, or other such agent cannot vote the shares. These un-voted shares are counted as “broker non-votes.” Proposal 1 is considered to be “non-routine” under such rules and we therefore expect broker non-votes on this proposal. However, because Proposal 2 is considered “routine” under such rules, we do not expect broker non-votes on this proposal.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election of directors, the two nominees receiving the most “For” votes from the holders of shares present or represented by proxy and entitled to vote on the election of directors will be elected. Only votes “For” will affect the outcome.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approved, Proposal 2, ratification of the selection of RSM US LLP as the Company’s independent registered public accounting firm for the year ending December 31, 2026, must receive “For” votes from the holders of a majority of shares present or represented by proxy and entitled to vote on the matter. If you “Abstain” from voting, it will have the same effect as an “Against” vote. Since brokers have authority to vote on your behalf with respect to Proposal 2, we do not expect broker non-votes on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6,781,976 shares outstanding and entitled to vote. Thus, the holders of 3,390,989 shares must be present or represented by proxy at the meeting to have a quorum.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during the meeting. Abstentions and broker non-votes will be counted towards the quorum requirement. If there is no quorum, either the chairperson of the meeting or the holders of a majority of the shares present at the meeting or represented by proxy may adjourn the meeting to another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for examination by any stockholder of record for any purpose germane to the meeting at our corporate headquarters during regular business hours for the ten days prior to the date of the Annual Meeting. To access the list of record stockholders beginning June 1, 2026, and until the day before the Annual Meeting, stockholders should email </w:t>
      </w:r>
      <w:r>
        <w:rPr>
          <w:rFonts w:ascii="Times New Roman" w:cs="Times New Roman" w:eastAsia="Times New Roman" w:hAnsi="Times New Roman"/>
          <w:sz w:val="18"/>
          <w:szCs w:val="18"/>
          <w:i w:val="1"/>
          <w:iCs w:val="1"/>
          <w:color w:val="auto"/>
        </w:rPr>
        <w:t>ir@instilbio.com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Form 10-K and annual report to stockholders are available at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divided into three classes,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currently has five members. There are two directors in the class whose term of office expires in 2026. The nominees listed below are currently directors of the Company who were previously elected by the stockholders. If elected at the Annual Meeting, each nominee would serve until the 2029 Annual Meeting of Stockholders and until his successor has been duly elected and qualified, or, if sooner, until the director’s death, resignation or removal.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or represented by proxy and entitled to vote on the election of directors. Accordingly, the nominees receiving the highest number of affirmative votes will be elected. Shares represented by executed proxies will be voted, if authority to do so is not withheld, for the election of the nominee named below. If the nominee becomes unavailable for election as a result of an unexpected occurrence, shares that would have been voted for the nominee will instead be voted for the election of a substitute nominee proposed by Instil Bio. The persons nominated for election have agreed to serve if elected. The Company’s management has no reason to believe that the nominees will be unable to serve.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biographies of the nominees for election to the Board and all continuing directors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NOMINEES FOR ELECTION FOR A THREE-YEAR TERM EXPIRING AT THE 2029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the Board’s nominees for director and a discussion of the specific experience, qualifications, attributes or skills of the nominee that led the Nominating and Corporate Governance Committee of the Board to recommend these persons as nominees for director.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Nominating and Corporate Governance Committee also takes into account gender, age, and ethnic diversity. The brief biographies below include information, as of the date of this proxy statement, regarding the specific and particular experience, qualifications, attributes or skills of each director or nominee that led the Nominating and Corporate Governance Committee to believe that that nominee should continue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George Matcham</w:t>
      </w:r>
      <w:r>
        <w:rPr>
          <w:rFonts w:ascii="Times New Roman" w:cs="Times New Roman" w:eastAsia="Times New Roman" w:hAnsi="Times New Roman"/>
          <w:sz w:val="18"/>
          <w:szCs w:val="18"/>
          <w:i w:val="1"/>
          <w:iCs w:val="1"/>
          <w:color w:val="auto"/>
        </w:rPr>
        <w:t>, age 74</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George Matcham, Ph.D. has served as a member of our Board since September 2018. Dr. Matcham currently serves as an advisor to Cellex Cell Professionals GmbH, a cell therapy company. He previously served in various roles for Celgene Corporation since 1988, most recently as Senior Vice President, CAR T CMC &amp; Technology Development from August 2017 to June 2018 and Senior Vice President, Biologics Development and Manufacturing from May 2013 to August 2017, with responsibility for CAR T CMC &amp; Manufacturing from September 2015. Dr. Matcham served on the board of Chimeric Therapeutics from July 2021 to August 2023. Dr. Matcham received his B.Sc. and Ph.D. in biochemistry from Cardiff University. Our Board believes that Dr. Matcham is qualified to serve as a director based upon his extensive experience in the biotechnology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Neil Gibson</w:t>
      </w:r>
      <w:r>
        <w:rPr>
          <w:rFonts w:ascii="Times New Roman" w:cs="Times New Roman" w:eastAsia="Times New Roman" w:hAnsi="Times New Roman"/>
          <w:sz w:val="18"/>
          <w:szCs w:val="18"/>
          <w:i w:val="1"/>
          <w:iCs w:val="1"/>
          <w:color w:val="auto"/>
        </w:rPr>
        <w:t>, age 70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Neil Gibson, Ph.D. has served as a member of our Board since June 2020 and as our lead independent director since March 2021. Dr. Gibson most recently served as Senior Vice President of COI Pharmaceuticals, Inc., an accelerator company focused on the creation and development of unique drug discovery companies based on innovative and disruptive technologies, from October 2016 to December 2021. Previously, he served as President and Chief Executive Officer of Adanate from 2017 to November 2021 and President and Chief Executive Officer of PDI Therapeutics from 2017 to June 2020, both COI Pharmaceuticals, Inc. companies. Dr. Gibson has served on the board of TCR2, Shattuck Laboratories and Causeway Therapeutics since 2017 and Adanate since 2021 and previously served on the board of Cytosen Therapeutics from 2016 to 2019. Dr. Gibson earned his B.Sc. in Pharmacy from the University of Strathclyde and his Ph.D. from the University of Aston. Our Board believes that Dr. Gibson is qualified to serve as a director because of his extensive experience as an executive officer in the biopharmaceutical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244475</wp:posOffset>
            </wp:positionV>
            <wp:extent cx="373761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325755"/>
                    </a:xfrm>
                    <a:prstGeom prst="rect">
                      <a:avLst/>
                    </a:prstGeom>
                    <a:noFill/>
                  </pic:spPr>
                </pic:pic>
              </a:graphicData>
            </a:graphic>
          </wp:anchor>
        </w:drawing>
      </w:r>
    </w:p>
    <w:p>
      <w:pPr>
        <w:spacing w:after="0" w:line="38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VOTE “FOR” THE TWO NAMED NOMINEES.</w:t>
      </w:r>
    </w:p>
    <w:p>
      <w:pPr>
        <w:spacing w:after="0" w:line="297" w:lineRule="exact"/>
        <w:rPr>
          <w:sz w:val="20"/>
          <w:szCs w:val="20"/>
          <w:color w:val="auto"/>
        </w:rPr>
      </w:pPr>
    </w:p>
    <w:p>
      <w:pPr>
        <w:ind w:right="47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DIRECTORS CONTINUING IN OFFICE UNTIL THE 2027 ANNUAL MEETING </w:t>
      </w:r>
      <w:r>
        <w:rPr>
          <w:rFonts w:ascii="Times New Roman" w:cs="Times New Roman" w:eastAsia="Times New Roman" w:hAnsi="Times New Roman"/>
          <w:sz w:val="18"/>
          <w:szCs w:val="18"/>
          <w:b w:val="1"/>
          <w:bCs w:val="1"/>
          <w:i w:val="1"/>
          <w:iCs w:val="1"/>
          <w:color w:val="auto"/>
        </w:rPr>
        <w:t>Gwendolyn Binder</w:t>
      </w:r>
      <w:r>
        <w:rPr>
          <w:rFonts w:ascii="Times New Roman" w:cs="Times New Roman" w:eastAsia="Times New Roman" w:hAnsi="Times New Roman"/>
          <w:sz w:val="18"/>
          <w:szCs w:val="18"/>
          <w:i w:val="1"/>
          <w:iCs w:val="1"/>
          <w:color w:val="auto"/>
        </w:rPr>
        <w:t>, age 51</w:t>
      </w:r>
    </w:p>
    <w:p>
      <w:pPr>
        <w:jc w:val="both"/>
        <w:spacing w:after="0" w:line="261" w:lineRule="auto"/>
        <w:rPr>
          <w:sz w:val="20"/>
          <w:szCs w:val="20"/>
          <w:color w:val="auto"/>
        </w:rPr>
      </w:pPr>
      <w:r>
        <w:rPr>
          <w:rFonts w:ascii="Times New Roman" w:cs="Times New Roman" w:eastAsia="Times New Roman" w:hAnsi="Times New Roman"/>
          <w:sz w:val="18"/>
          <w:szCs w:val="18"/>
          <w:color w:val="auto"/>
        </w:rPr>
        <w:t>Gwendolyn Binder, Ph.D. has served as a member of our Board since July 2020. Dr. Binder is President of Science and Technology at Cabaletta Bio, Inc., which she joined in February 2019. Dr. Binder previously served in various roles for Adaptimmune Therapeutics PLC from March 2011 to January 2019, most recently as Chief Technology Officer from March 2016 to January 2019 and Executive Vice President, Head of Translational Sciences from March 2011 to February 2016. Dr. Binder earned her B.A. from Wells College in biochemistry and molecular biology and studied viral immunology and</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translational research at the Johns Hopkins University in Baltimore, where she earned her Ph.D. in Cellular and Molecular Medicine in 2002. Our Board believes that Dr. Binder is qualified to serve as a director based upon her extensive experience in the biotechnology industry.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Kent McGaughy, Jr.</w:t>
      </w:r>
      <w:r>
        <w:rPr>
          <w:rFonts w:ascii="Times New Roman" w:cs="Times New Roman" w:eastAsia="Times New Roman" w:hAnsi="Times New Roman"/>
          <w:sz w:val="18"/>
          <w:szCs w:val="18"/>
          <w:i w:val="1"/>
          <w:iCs w:val="1"/>
          <w:color w:val="auto"/>
        </w:rPr>
        <w:t>, age 54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 Kent McGaughy, Jr. has served as a member of our Board since June 2020. He has served as a Partner of CPMG, Inc. since 2005. Mr. McGaughy also served on the board of directors of Apollo Endosurgery from January 2012 to April 2023 and Reata Pharmaceuticals Inc. from December 2004 to September 2023. He earned a B.A. from the University of Texas and an M.B.A. from Harvard Business School. Our Board believes that Mr. McGaughy is qualified to serve as a director based upon his extensive leadership as an investor in the medical technologies industry and his financial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right="48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DIRECTOR CONTINUING IN OFFICE UNTIL THE 2028 ANNUAL MEETING </w:t>
      </w:r>
      <w:r>
        <w:rPr>
          <w:rFonts w:ascii="Times New Roman" w:cs="Times New Roman" w:eastAsia="Times New Roman" w:hAnsi="Times New Roman"/>
          <w:sz w:val="18"/>
          <w:szCs w:val="18"/>
          <w:b w:val="1"/>
          <w:bCs w:val="1"/>
          <w:i w:val="1"/>
          <w:iCs w:val="1"/>
          <w:color w:val="auto"/>
        </w:rPr>
        <w:t>Bronson Crouch</w:t>
      </w:r>
      <w:r>
        <w:rPr>
          <w:rFonts w:ascii="Times New Roman" w:cs="Times New Roman" w:eastAsia="Times New Roman" w:hAnsi="Times New Roman"/>
          <w:sz w:val="18"/>
          <w:szCs w:val="18"/>
          <w:i w:val="1"/>
          <w:iCs w:val="1"/>
          <w:color w:val="auto"/>
        </w:rPr>
        <w:t>, age 53</w:t>
      </w:r>
    </w:p>
    <w:p>
      <w:pPr>
        <w:jc w:val="both"/>
        <w:spacing w:after="0" w:line="266" w:lineRule="auto"/>
        <w:rPr>
          <w:sz w:val="20"/>
          <w:szCs w:val="20"/>
          <w:color w:val="auto"/>
        </w:rPr>
      </w:pPr>
      <w:r>
        <w:rPr>
          <w:rFonts w:ascii="Times New Roman" w:cs="Times New Roman" w:eastAsia="Times New Roman" w:hAnsi="Times New Roman"/>
          <w:sz w:val="18"/>
          <w:szCs w:val="18"/>
          <w:color w:val="auto"/>
        </w:rPr>
        <w:t>Bronson Crouch has served as our Chief Executive Officer and Chairman of our Board since November 2018. In addition to serving as our Chief Executive Officer and Chairman, Mr. Crouch has served as Founding Partner of Curative Ventures Management LLC since January 2014. Our Board believes that Mr. Crouch is qualified to serve as a director based on his extensive experience in venture capital and in the biotechnology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CORPORATE GOVERNANCE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“independence,” including those set forth in pertinent listing standards of Nasdaq, as in effect from time to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all our directors, other than our Chief Executive Officer, Mr. Crouch, are independent directors within the meaning of the applicable Nasdaq listing standards. In making this determination, the Board concluded that none of these directors had a material or other disqualifying relationship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currently chaired by the President and Chief Executive Officer of the Company, Mr. Crouch, and the Board has appointed Dr. Gibson as lead independent director.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The Company also believes that it is advantageous to have a Board Chair with an extensive history with and knowledge of the Company (as is the case with the Company’s Chief Executive Officer) as compared to a relatively less informed independent Board Chair.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Gibson has served as the Board’s lead independent director since March 2021. The Board appointed Dr. Gibson as the lead independent director to help reinforce the independence of the Board as a whole. The position of lead independent director has been structured to serve as an effective balance to a combined Chief Executive Officer/Board Chair; the lead independent director is empowered to, among other duties and responsibilities, approve agendas and meeting schedules for regular Board meetings, preside over Board meetings in the absence of the Chair, preside over and establish the agendas for meetings of the independent directors, act as liaison between the Chair and the independent directors, provide the Chair with feedback on the quality, quantity, and timeliness of the information provided to the Board, preside over any portions of Board meetings at which the evaluation or compensation of the Chief Executive Officer is presented or discussed and, as appropriate upon request, act as a liaison to stockholders.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 In light of the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combine the positions of Chief Executive Officer and Board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the Board’s key functions is informed oversight of Instil Bio’s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oversee our risk assessment and risk management programs and our legal, regulatory and ethical compliance programs, as established by management and the Board. The Audit Committee reviews and discusses our policies with respect to risk assessment and risk management and the steps taken by management to identify, monitor and control exposures to strategic, financial, operational, regulatory and other risks inherent in our business. The Committee also reviews and discusses our procedures and internal controls relating to cybersecurity and other information technology risks, including our plans to mitigate cybersecurity risks and to respond to data breaches. Our Nominating and Corporate Governance Committee monitors the effectiveness of our corporate governance guidelines, including whether they are successful in preventing illegal or improper liability-creating conduct. Our Compensation Committee reviews our practices and policies for employee compensation as they relate to risk management and risk-taking incentives, to determine whether such compensation policies and practices are reasonably likely to have a material adverse effect on the Company. In addition, the entire Board receives reports from time to time regarding various enterprise risks facing the Company, and the applicable Board committees receive related reports with respect to the committees’ respective areas of oversight.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met ten times during the last fiscal year. Each director attended 75% or more of the aggregate number of meetings of the Board and of the committees on which he or she served, held during the portion of the last fiscal year for which he or she was a director or committee member.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the Company’s policy to invite and encourage directors and nominees for director to attend each Annual Meeting of Stockholders. Last year, all of our directors participated telephonically in the 2025 Annual Meeting of Stockholders, except for Gwendolyn Binder.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Corporate Governance Committee. The following table provides the membership of each Board committee.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w:t>
            </w:r>
          </w:p>
        </w:tc>
      </w:tr>
      <w:tr>
        <w:trPr>
          <w:trHeight w:val="216"/>
        </w:trPr>
        <w:tc>
          <w:tcPr>
            <w:tcW w:w="4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65"/>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Bronson Crouch</w:t>
            </w:r>
          </w:p>
        </w:tc>
        <w:tc>
          <w:tcPr>
            <w:tcW w:w="3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Gwendolyn Binder, Ph.D.</w:t>
            </w:r>
          </w:p>
        </w:tc>
        <w:tc>
          <w:tcPr>
            <w:tcW w:w="3220" w:type="dxa"/>
            <w:vAlign w:val="bottom"/>
          </w:tcPr>
          <w:p>
            <w:pPr>
              <w:spacing w:after="0"/>
              <w:rPr>
                <w:sz w:val="19"/>
                <w:szCs w:val="19"/>
                <w:color w:val="auto"/>
              </w:rPr>
            </w:pPr>
          </w:p>
        </w:tc>
        <w:tc>
          <w:tcPr>
            <w:tcW w:w="1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Neil Gibson, Ph.D.</w:t>
            </w:r>
          </w:p>
        </w:tc>
        <w:tc>
          <w:tcPr>
            <w:tcW w:w="322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Matcham, Ph.D.</w:t>
            </w:r>
          </w:p>
        </w:tc>
        <w:tc>
          <w:tcPr>
            <w:tcW w:w="322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X*</w:t>
            </w:r>
          </w:p>
        </w:tc>
        <w:tc>
          <w:tcPr>
            <w:tcW w:w="168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Kent McGaughy, Jr.</w:t>
            </w:r>
          </w:p>
        </w:tc>
        <w:tc>
          <w:tcPr>
            <w:tcW w:w="322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9"/>
              </w:rPr>
              <w:t>X*</w:t>
            </w:r>
          </w:p>
        </w:tc>
        <w:tc>
          <w:tcPr>
            <w:tcW w:w="17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60"/>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w:t>
            </w:r>
          </w:p>
        </w:tc>
        <w:tc>
          <w:tcPr>
            <w:tcW w:w="3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  Committee Chairperson</w:t>
            </w:r>
          </w:p>
        </w:tc>
        <w:tc>
          <w:tcPr>
            <w:tcW w:w="3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80" w:type="dxa"/>
            <w:vAlign w:val="bottom"/>
          </w:tcPr>
          <w:p>
            <w:pPr>
              <w:spacing w:after="0"/>
              <w:rPr>
                <w:sz w:val="23"/>
                <w:szCs w:val="23"/>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description of each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member is free of any relationship that would impair his or her individual exercise of independent judgment with regard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6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including financial risk, data privacy and cybersecurity;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is currently composed of three directors: Mr. McGaughy (chair), Dr. Gibson and Dr. Matcham. The Audit Committee met four times during fiscal year 2025.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www.instilbio.com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members of the Company’s Audit Committee are independent in accordance with the Nasdaq listing standards and SEC rules applicable to boards of directors in general and audit committee members in particular.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Mr. McGaughy qualifies as an “audit committee financial expert,” as defined in applicable SEC rules and that each member of the Audit Committee is financially sophisticated.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the Company’s Annual Report on Form 10-K for the fiscal year ended December 31, 2025 for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 Kent McGaughy</w:t>
      </w:r>
      <w:r>
        <w:rPr>
          <w:rFonts w:ascii="Times New Roman" w:cs="Times New Roman" w:eastAsia="Times New Roman" w:hAnsi="Times New Roman"/>
          <w:sz w:val="18"/>
          <w:szCs w:val="18"/>
          <w:color w:val="000000"/>
        </w:rPr>
        <w:t>,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Neil Gibson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George Matcham</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acts on behalf of the Board to review, modify and oversee the Company’s compensation strategy, policies, plans and programs, including:</w:t>
      </w:r>
    </w:p>
    <w:p>
      <w:pPr>
        <w:spacing w:after="0" w:line="54"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reviewing and recommending to the Board for approval, annual corporate goals and objectives relevant to the compensation of our executive officers and evaluating performance in light of these stated objectives;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reviewing and recommending to the Board for approval, the compensation and other terms of employment or service, including severance and change-in-control arrangements, of our Chief Executive Officer and the other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compensation arrangements for our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administration of our equity compensation plans, bonus plans, benefit plans and other similar plans and programs.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is currently composed of two directors: Dr. Matcham (Chair) and Dr. Binder. All members of the Company’s Compensation Committee are independent in accordance with Nasdaq listing standards and SEC rules applicable to boards of directors in general and compensation committees in particular. The Compensation Committee met three times during fiscal year 2025. The Board has adopted a written Compensation Committee charter that is available to stockholders on the Company’s website at </w:t>
      </w:r>
      <w:r>
        <w:rPr>
          <w:rFonts w:ascii="Times New Roman" w:cs="Times New Roman" w:eastAsia="Times New Roman" w:hAnsi="Times New Roman"/>
          <w:sz w:val="18"/>
          <w:szCs w:val="18"/>
          <w:i w:val="1"/>
          <w:iCs w:val="1"/>
          <w:color w:val="auto"/>
        </w:rPr>
        <w:t>www.instilbio.com</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 of the Compensation Committee, in consultation with the Chief Executive Officer and the compensation consultant engaged by the Compensation Committee. The Compensation Committee meets regularly in executive session. In addition, various members of management and other employees as well as outside advisors or consultants are frequently invited by the Compensation Committee to make presentations, to provide financial or other background information or advice or to otherwise participate in committee meetings. The Chief Executive Officer may not participate in, or be present during, any deliberations or determinations of the Compensation Committee regarding his compensation or individual performance objectives.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advisors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advisor to the Compensation Committee, other than in-house legal counsel and certain other types of advisors, only after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into consideration six factors prescribed by the SEC and Nasdaq that bear upon the advisor’s independence; however, there is no requirement that any advisor be independent.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referenced above, the Compensation Committee engaged FW Cook as its compensation consultant. The Compensation Committee requested that FW Cook:</w:t>
      </w:r>
    </w:p>
    <w:p>
      <w:pPr>
        <w:spacing w:after="0" w:line="54" w:lineRule="exact"/>
        <w:rPr>
          <w:sz w:val="20"/>
          <w:szCs w:val="20"/>
          <w:color w:val="auto"/>
        </w:rPr>
      </w:pPr>
    </w:p>
    <w:p>
      <w:pPr>
        <w:ind w:left="660" w:right="4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w:t>
      </w:r>
    </w:p>
    <w:p>
      <w:pPr>
        <w:spacing w:after="0" w:line="53"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Compensation Committee in refining the Company’s compensation strategy and in developing and implementing an executive compensation program to execute that strategy;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Compensation Committee in formulating strategies for retaining employees in light of the Company’s stock price relative to the exercise prices of outstanding options.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engagement of FW Cook, the Compensation Committee directed FW Cook to develop a comparative group of companies and to perform analyses of competitive performance and compensation levels for that group.</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generally determines compensation for our executive officers during the first quarter of the year, including any adjustments to annual base salaries and approval of awards of annual performance bonuses and equity awards, as well as approval of new annual performance objectives for the coming year. In addition, at various meetings throughout the year, the Compensation Committee also considers matters related to individual compensation, such as compensation for new executive hires and other strategic compensation issues, such as the efficacy of the Company’s compensation strategy, potential modifications to that strategy and new trends, plans or approaches to compensation. For executives other than the Chief Executive Officer, the Compensation Committee solicits and considers evaluations and recommendations submitted by the Chief Executive Officer when determining the compensation of the other executive officers. In the case of the Chief Executive Officer, the Compensation Committee evaluates his performance, which influences any adjustments the Committee approves to his compensation as well as awards to be granted. As part of its deliberations, the Compensation Committee may review and consider, as appropriate, materials that it deems appropriate, including financial reports and projections, tax and accounting information,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may delegate to one or more members of the Board or officers of the Company the authority to grant awards of options or other equity securities to any employees or other service providers who, in either case, are not officers subject to Section 16 of the Exchange Act (“Section 16 Officers”) under the Company’s incentive compensation or other equity-based plans as the Compensation Committee deems appropriate. The Compensation Committee may also form and delegate authority to a committee composed solely of employees to serve as an administrative and/or investment committee, with fiduciary responsibilities under the Employee Retirement Income Security Act of 1974 (“ERISA”), with respect to one or more Company plans that are subject to ERISA. The Compensation Committee from time to time has delegated limited authority to the Chief Executive Officer to make equity grants to employees and new hires who are not Section 16 Officers. Such delegations are subject to limits on the maximum numbers of shares that can be granted to any one person and in the aggregate.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is responsible for identifying, reviewing and evaluating candidates to serve as directors of the Company (consistent with any criteria approved by the Board), reviewing and evaluating incumbent directors and the performance of the Board generally, making recommendations to the Board regarding the membership of the committees of the Board and developing and evaluating a set of corporate governance guidelines for the Company. The Nominating and Corporate Governance Committee is currently composed of two directors: Dr. Gibson (Chair) and Dr. Binder. All members of the Nominating and Corporate Governance Committee are independent in accordance with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met one time during fiscal year 2025. The Board has adopted a written Nominating and Corporate Governance Committee charter that is available to stockholders on the Company’s website at </w:t>
      </w:r>
      <w:r>
        <w:rPr>
          <w:rFonts w:ascii="Times New Roman" w:cs="Times New Roman" w:eastAsia="Times New Roman" w:hAnsi="Times New Roman"/>
          <w:sz w:val="18"/>
          <w:szCs w:val="18"/>
          <w:i w:val="1"/>
          <w:iCs w:val="1"/>
          <w:color w:val="auto"/>
        </w:rPr>
        <w:t>www.instilbio.com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other factors when considering potential candidates, including expertise relevant to the Company’s current and planned operations in order to offer advice and guidance to management, having sufficient time to devote to the affairs of the Company, demonstrated excellence in his or her field, having the ability to exercise sound business judgment and having commitment to rigorously represent the long-term interests of the Company’s stockholders. The Nominating and Corporate Governance Committee retains the right to modify these qualifications from time to time as the Company’s needs change and evolve.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Board diversity is critical to the Company’s success. Candidates for director nominees are also reviewed in the context of the current composition of the Board, the operating requirements of the Company and the long-term interests of stockholders. In conducting this assessment, the Nominating and Corporate Governance Committee may also consider diversity, age, skills and such other factors as it deems appropriate to maintain a balance of knowledge, experience and capability, given the current needs of the Board and the Company.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commitment to maintaining a Board with a diverse set of skills, backgrounds and perspectives.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changes to the Board’s membership and identifies and considers qualities, skills and other director attributes that might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could impair the directors’ independence. The Nominating and Corporate Governance Committee also considers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other factors. The Nominating and Corporate Governance Committee then compiles a list of potential candidates, which may include recommendations from a professional search firm when deemed appropriate. The Nominating and Corporate Governance Committee conducts any appropriate and necessary inquiries into the backgrounds and qualifications of possible candidates after considering the needs of the Board. The Nominating and Corporate Governance Committee then meets to discuss and consider the candidates’ qualifications and selects a nominee for recommendation to the Board.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Instil Bio, Inc., Attention: Corporate Secretary, 3963 Maple Avenue, Suite 350, Dallas, Texas 75219, at least 90 days, but not more than 120 days, prior to the anniversary date of the preceding year’s Annual Meeting of Stockholders. Submissions must include the information required by our Bylaws, including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Any submission must be accompanied by the written consent of the proposed nominee to be named as a nominee and to serve as a director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believes that stockholders should have an opportunity to send communications to the Board and has adopted a formal process by which stockholders may communicate with the Board or any of its members. Any stockholder wishing to communicate with the Board or an individual director may send a written communication to the Board or such director c/o Instil Bio, Inc., 3963 Maple Avenue, Suite 350, Dallas, Texas 75219, Attn: Corporate Secretary. Each communication must set forth: the name and address of the stockholder on whose behalf the communication is sent; and the number and class of shares of the Company that are owned beneficially by such stockholder as of the date of the communication. The Corporate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Secretary will review all such communications but may disregard any communication that he or she believes is not related to the duties and responsibilities of the Board. If deemed an appropriate communication, the Secretary will share the communication with the applicable director or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for directors, officers and employees, including our principal executive officer, principal financial officer, principal accounting officer or controller, or persons performing similar functions, known as the Code of Business Conduct and Ethics. The Code of Business Conduct and Ethics is available on our website at http://www.instilbio.com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and Window Period Policy governing the purchase, sale and/or other dispositions of our securities by our directors, officers and employees. A copy of the Insider Trading Policy is included as an exhibit to our Annual Report on Form 10-K for the year ended December 31, 2025. In addition, it is the Company’s practice to comply with the applicable laws and regulations relating to insider trading.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Insider Trading and Window Period Policy prohibits our employees, including our executive officers, and the non-employee members of our Board from engaging in short sales, transactions in put or call options, hedging transactions, using margin accounts, or other inherently speculative transactions involving our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the named executive officers. Historically, the Company has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“Director Compensation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Narrative to Director Compensation Table” below. The Company does not otherwise maintain any written policies on the timing of awards of stock options, stock appreciation rights, or similar instruments with option-like features. The Compensation Committee generally does not take material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the Company into account when determining the timing of awards and it does not seek to time the award of stock options in relation to the Company’s public disclosure of material nonpublic information. The Company has not timed the release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2026, the Audit Committee approved the appointment of RSM US LLP (“RSM”) as the Company’s independent registered public accounting firm for the fiscal year ending December 31, 2026. This action resulted in the replacement of Deloitte &amp; Touche LLP (“Deloitte”) as the Company’s independent registered public accounting firm, which the Audit Committee dismissed effective April 1, 2026.</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reports of Deloitte on the Company’s consolidated financial statements for the fiscal years ended December 31, 2025 and 2024 did not contain an adverse opinion or disclaimer of opinion and were not qualified or modified as to uncertainty, audit scope or accounting principles. In connection with the audits of the Company's consolidated financial statements for the fiscal years ended December 31, 2025 and 2024, and in the subsequent period through April 1, 2026, there were no disagreements with Deloitte on any matters of accounting principles or practices, financial statement disclosure or auditing scope and procedures which, if not resolved to the satisfaction of Deloitte, would have caused Deloitte to make reference to the matter in their report. There were no reportable events (as that term is described in Item 304(a)(1)(v) of Regulation S-K) during the fiscal years ended December 31, 2025 and 2024, or in the subsequent period through April 1, 2026.</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two most recent fiscal years and in the subsequent interim period through April 1, 2026, neither the Company nor anyone on its behalf consulted with RSM with respect to the application of accounting principles to a specified transaction, either completed or proposed, or the type of audit opinion that would have been rendered on the Company’s consolidated financial statements, or any other matters set forth in Item 304(a)(2)(i) or (ii) of Regulation 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Deloitte’s letter to the SEC, dated April 3, 2026, stating whether it agrees with the foregoing statements was filed as Exhibit 16.1 to the Company’s Current Report on Form 8-K filed with the SEC on April 3, 2026.</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Annual Meeting. They will have an opportunity to make a statement if they so desire and will be available to respond to appropriate questions. We do not expect representatives of Deloitte to be present at the Annual Meeting.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RSM as the Company’s independent registered public accounting firm. However, the Audit Committee is submitting the selection of RSM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and entitled to vote on the matter at the Annual Meeting will be required to ratify the selection of RSM.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2024 by Deloitte &amp; Touche LLP:</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9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69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726,981</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746,302</w:t>
            </w:r>
          </w:p>
        </w:tc>
      </w:tr>
      <w:tr>
        <w:trPr>
          <w:trHeight w:val="25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726,981</w:t>
            </w:r>
          </w:p>
        </w:tc>
        <w:tc>
          <w:tcPr>
            <w:tcW w:w="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746,302</w:t>
            </w:r>
          </w:p>
        </w:tc>
      </w:tr>
      <w:tr>
        <w:trPr>
          <w:trHeight w:val="21"/>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3" w:lineRule="exact"/>
        <w:rPr>
          <w:sz w:val="20"/>
          <w:szCs w:val="20"/>
          <w:color w:val="auto"/>
        </w:rPr>
      </w:pPr>
    </w:p>
    <w:p>
      <w:pPr>
        <w:jc w:val="both"/>
        <w:ind w:left="340" w:hanging="332"/>
        <w:spacing w:after="0" w:line="282" w:lineRule="auto"/>
        <w:tabs>
          <w:tab w:leader="none" w:pos="34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billed for professional services provided in connection with the audit of our annual financial statements, the review of our quarterly financial statements, comfort letters, and related services that are typically provided in connection with registration statements, including the registration statements on Form S-3 and Form S-8 that we have filed with the SEC.</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Audit Committee has delegated to its Chairman the authority to pre-approve services to be provided by the independent auditors. The Chairman reports each such pre-approval decision to the full Audit Committee at its next scheduled meeting.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RSM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268605</wp:posOffset>
            </wp:positionV>
            <wp:extent cx="3968750"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68750" cy="3257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0" w:type="dxa"/>
            <w:vAlign w:val="bottom"/>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9"/>
              </w:rPr>
              <w:t>EXECUTIVE OFFICERS</w:t>
            </w:r>
          </w:p>
        </w:tc>
      </w:tr>
      <w:tr>
        <w:trPr>
          <w:trHeight w:val="432"/>
        </w:trPr>
        <w:tc>
          <w:tcPr>
            <w:tcW w:w="10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24, 2026, are as follows:</w:t>
            </w:r>
          </w:p>
        </w:tc>
      </w:tr>
      <w:tr>
        <w:trPr>
          <w:trHeight w:val="473"/>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00" w:type="dxa"/>
            <w:vAlign w:val="bottom"/>
            <w:tcBorders>
              <w:bottom w:val="single" w:sz="8" w:color="auto"/>
            </w:tcBorders>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3"/>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Bronson Crouch</w:t>
            </w:r>
          </w:p>
        </w:tc>
        <w:tc>
          <w:tcPr>
            <w:tcW w:w="15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53</w:t>
            </w:r>
          </w:p>
        </w:tc>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Sandeep Laumas, M.D.</w:t>
            </w:r>
          </w:p>
        </w:tc>
        <w:tc>
          <w:tcPr>
            <w:tcW w:w="15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58</w:t>
            </w:r>
          </w:p>
        </w:tc>
        <w:tc>
          <w:tcPr>
            <w:tcW w:w="6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biography of Mr. Crouch is set forth in “Proposal 1 – Election of Director – Directors Continuing in Office until the 2028 Annual Meeting” above.</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Sandeep Laumas, M.D. </w:t>
      </w:r>
      <w:r>
        <w:rPr>
          <w:rFonts w:ascii="Times New Roman" w:cs="Times New Roman" w:eastAsia="Times New Roman" w:hAnsi="Times New Roman"/>
          <w:sz w:val="18"/>
          <w:szCs w:val="18"/>
          <w:color w:val="auto"/>
        </w:rPr>
        <w:t>has served as our Chief Financial Officer since February 2021 and our Chief Business Officer since June 2020. Dr. Laumas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the board of directors of BioXcel Therapeutics, Inc. since September 2017 and as a member of the board of directors of Unicycive Therapeutics, Inc. since 2018. He served as a member of the board of directors of 9 Meters Biopharma, Inc. from May 2020 until June 2021 and previously served as the Executive Chairman from January 2014 to April 2020, including as the Chief Executive Officer from February 2019 to April 2020. Dr. Laumas received his A.B. in chemistry from Cornell University and M.D. from Albany Medical College, and he completed his medical internship at the Yale University School of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13, 2026 by:</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be beneficial owners of more than five percent of our common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We have calculated beneficial ownership based on 6,781,976 shares of our common stock outstanding as of April 13, 2026. In computing the number of shares beneficially owned by an individual or entity and the percentage ownership of that person, shares of common stock subject to options held by such person that are currently exercisable or will become exercisable within 60 days of April 13, 2026 are considered outstanding, although these shares are not considered outstanding for purposes of computing the percentage ownership of any other person.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noted otherwise, the address of all listed shareholders is c/o Instil Bio, Inc., 3963 Maple Avenue, Suite 350 Dallas, Texas 75219.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r>
      <w:tr>
        <w:trPr>
          <w:trHeight w:val="22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Shares  Percent of Total (%)</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334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Curative Ventures V LLC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Entity associated with CPMG, Inc.</w:t>
      </w:r>
      <w:r>
        <w:rPr>
          <w:rFonts w:ascii="Times New Roman" w:cs="Times New Roman" w:eastAsia="Times New Roman" w:hAnsi="Times New Roman"/>
          <w:sz w:val="23"/>
          <w:szCs w:val="23"/>
          <w:color w:val="auto"/>
          <w:vertAlign w:val="superscript"/>
        </w:rPr>
        <w:t>(2)</w:t>
      </w:r>
    </w:p>
    <w:p>
      <w:pPr>
        <w:ind w:left="20"/>
        <w:spacing w:after="0" w:line="223" w:lineRule="auto"/>
        <w:rPr>
          <w:sz w:val="20"/>
          <w:szCs w:val="20"/>
          <w:color w:val="auto"/>
        </w:rPr>
      </w:pPr>
      <w:r>
        <w:rPr>
          <w:rFonts w:ascii="Times New Roman" w:cs="Times New Roman" w:eastAsia="Times New Roman" w:hAnsi="Times New Roman"/>
          <w:sz w:val="18"/>
          <w:szCs w:val="18"/>
          <w:color w:val="auto"/>
        </w:rPr>
        <w:t>BML Investment Partners, L.P.</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20" w:lineRule="exact"/>
        <w:rPr>
          <w:sz w:val="20"/>
          <w:szCs w:val="20"/>
          <w:color w:val="auto"/>
        </w:rPr>
      </w:pPr>
      <w:r>
        <w:rPr>
          <w:sz w:val="20"/>
          <w:szCs w:val="20"/>
          <w:color w:val="auto"/>
        </w:rPr>
        <w:br w:type="column"/>
      </w: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2,019,002</w:t>
      </w:r>
      <w:r>
        <w:rPr>
          <w:sz w:val="20"/>
          <w:szCs w:val="20"/>
          <w:color w:val="auto"/>
        </w:rPr>
        <w:tab/>
      </w:r>
      <w:r>
        <w:rPr>
          <w:rFonts w:ascii="Times New Roman" w:cs="Times New Roman" w:eastAsia="Times New Roman" w:hAnsi="Times New Roman"/>
          <w:sz w:val="18"/>
          <w:szCs w:val="18"/>
          <w:color w:val="auto"/>
        </w:rPr>
        <w:t>29.8</w:t>
      </w:r>
    </w:p>
    <w:p>
      <w:pPr>
        <w:spacing w:after="0" w:line="58" w:lineRule="exact"/>
        <w:rPr>
          <w:sz w:val="20"/>
          <w:szCs w:val="20"/>
          <w:color w:val="auto"/>
        </w:rPr>
      </w:pPr>
    </w:p>
    <w:p>
      <w:pPr>
        <w:ind w:left="80"/>
        <w:spacing w:after="0"/>
        <w:tabs>
          <w:tab w:leader="none" w:pos="1920" w:val="left"/>
        </w:tabs>
        <w:rPr>
          <w:sz w:val="20"/>
          <w:szCs w:val="20"/>
          <w:color w:val="auto"/>
        </w:rPr>
      </w:pPr>
      <w:r>
        <w:rPr>
          <w:rFonts w:ascii="Times New Roman" w:cs="Times New Roman" w:eastAsia="Times New Roman" w:hAnsi="Times New Roman"/>
          <w:sz w:val="18"/>
          <w:szCs w:val="18"/>
          <w:color w:val="auto"/>
        </w:rPr>
        <w:t>410,922</w:t>
      </w:r>
      <w:r>
        <w:rPr>
          <w:sz w:val="20"/>
          <w:szCs w:val="20"/>
          <w:color w:val="auto"/>
        </w:rPr>
        <w:tab/>
      </w:r>
      <w:r>
        <w:rPr>
          <w:rFonts w:ascii="Times New Roman" w:cs="Times New Roman" w:eastAsia="Times New Roman" w:hAnsi="Times New Roman"/>
          <w:sz w:val="18"/>
          <w:szCs w:val="18"/>
          <w:color w:val="auto"/>
        </w:rPr>
        <w:t>6.1</w:t>
      </w:r>
    </w:p>
    <w:p>
      <w:pPr>
        <w:spacing w:after="0" w:line="63" w:lineRule="exact"/>
        <w:rPr>
          <w:sz w:val="20"/>
          <w:szCs w:val="20"/>
          <w:color w:val="auto"/>
        </w:rPr>
      </w:pPr>
    </w:p>
    <w:p>
      <w:pPr>
        <w:ind w:left="80"/>
        <w:spacing w:after="0"/>
        <w:tabs>
          <w:tab w:leader="none" w:pos="1920" w:val="left"/>
        </w:tabs>
        <w:rPr>
          <w:sz w:val="20"/>
          <w:szCs w:val="20"/>
          <w:color w:val="auto"/>
        </w:rPr>
      </w:pPr>
      <w:r>
        <w:rPr>
          <w:rFonts w:ascii="Times New Roman" w:cs="Times New Roman" w:eastAsia="Times New Roman" w:hAnsi="Times New Roman"/>
          <w:sz w:val="18"/>
          <w:szCs w:val="18"/>
          <w:color w:val="auto"/>
        </w:rPr>
        <w:t>645,600</w:t>
      </w:r>
      <w:r>
        <w:rPr>
          <w:sz w:val="20"/>
          <w:szCs w:val="20"/>
          <w:color w:val="auto"/>
        </w:rPr>
        <w:tab/>
      </w:r>
      <w:r>
        <w:rPr>
          <w:rFonts w:ascii="Times New Roman" w:cs="Times New Roman" w:eastAsia="Times New Roman" w:hAnsi="Times New Roman"/>
          <w:sz w:val="18"/>
          <w:szCs w:val="18"/>
          <w:color w:val="auto"/>
        </w:rPr>
        <w:t>9.5</w:t>
      </w:r>
    </w:p>
    <w:p>
      <w:pPr>
        <w:spacing w:after="0" w:line="297"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Bronson Crouch</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Sandeep Laumas, M.D.</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Gwendolyn Binder, Ph.D.</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Neil Gibson, Ph.D.</w:t>
      </w:r>
      <w:r>
        <w:rPr>
          <w:rFonts w:ascii="Times New Roman" w:cs="Times New Roman" w:eastAsia="Times New Roman" w:hAnsi="Times New Roman"/>
          <w:sz w:val="23"/>
          <w:szCs w:val="23"/>
          <w:color w:val="auto"/>
          <w:vertAlign w:val="superscript"/>
        </w:rPr>
        <w:t>(7)</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George Matcham, Ph.D.</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 Kent McGaughy, Jr.</w:t>
      </w:r>
      <w:r>
        <w:rPr>
          <w:rFonts w:ascii="Times New Roman" w:cs="Times New Roman" w:eastAsia="Times New Roman" w:hAnsi="Times New Roman"/>
          <w:sz w:val="23"/>
          <w:szCs w:val="23"/>
          <w:color w:val="auto"/>
          <w:vertAlign w:val="superscript"/>
        </w:rPr>
        <w:t>(9)</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(6 persons)</w:t>
      </w:r>
      <w:r>
        <w:rPr>
          <w:rFonts w:ascii="Times New Roman" w:cs="Times New Roman" w:eastAsia="Times New Roman" w:hAnsi="Times New Roman"/>
          <w:sz w:val="22"/>
          <w:szCs w:val="22"/>
          <w:color w:val="auto"/>
          <w:vertAlign w:val="superscript"/>
        </w:rPr>
        <w:t>(10)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br w:type="column"/>
      </w: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2,692,120</w:t>
      </w:r>
      <w:r>
        <w:rPr>
          <w:sz w:val="20"/>
          <w:szCs w:val="20"/>
          <w:color w:val="auto"/>
        </w:rPr>
        <w:tab/>
      </w:r>
      <w:r>
        <w:rPr>
          <w:rFonts w:ascii="Times New Roman" w:cs="Times New Roman" w:eastAsia="Times New Roman" w:hAnsi="Times New Roman"/>
          <w:sz w:val="18"/>
          <w:szCs w:val="18"/>
          <w:color w:val="auto"/>
        </w:rPr>
        <w:t>36.7</w:t>
      </w:r>
    </w:p>
    <w:p>
      <w:pPr>
        <w:spacing w:after="0" w:line="58" w:lineRule="exact"/>
        <w:rPr>
          <w:sz w:val="20"/>
          <w:szCs w:val="20"/>
          <w:color w:val="auto"/>
        </w:rPr>
      </w:pPr>
    </w:p>
    <w:p>
      <w:pPr>
        <w:ind w:left="80"/>
        <w:spacing w:after="0"/>
        <w:tabs>
          <w:tab w:leader="none" w:pos="1920" w:val="left"/>
        </w:tabs>
        <w:rPr>
          <w:sz w:val="20"/>
          <w:szCs w:val="20"/>
          <w:color w:val="auto"/>
        </w:rPr>
      </w:pPr>
      <w:r>
        <w:rPr>
          <w:rFonts w:ascii="Times New Roman" w:cs="Times New Roman" w:eastAsia="Times New Roman" w:hAnsi="Times New Roman"/>
          <w:sz w:val="18"/>
          <w:szCs w:val="18"/>
          <w:color w:val="auto"/>
        </w:rPr>
        <w:t>372,068</w:t>
      </w:r>
      <w:r>
        <w:rPr>
          <w:sz w:val="20"/>
          <w:szCs w:val="20"/>
          <w:color w:val="auto"/>
        </w:rPr>
        <w:tab/>
      </w:r>
      <w:r>
        <w:rPr>
          <w:rFonts w:ascii="Times New Roman" w:cs="Times New Roman" w:eastAsia="Times New Roman" w:hAnsi="Times New Roman"/>
          <w:sz w:val="18"/>
          <w:szCs w:val="18"/>
          <w:color w:val="auto"/>
        </w:rPr>
        <w:t>5.3</w:t>
      </w:r>
    </w:p>
    <w:p>
      <w:pPr>
        <w:spacing w:after="0" w:line="63"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color w:val="auto"/>
        </w:rPr>
        <w:t>13,600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color w:val="auto"/>
        </w:rPr>
        <w:t>13,000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color w:val="auto"/>
        </w:rPr>
        <w:t>51,100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0"/>
        <w:spacing w:after="0"/>
        <w:tabs>
          <w:tab w:leader="none" w:pos="1920" w:val="left"/>
        </w:tabs>
        <w:rPr>
          <w:sz w:val="20"/>
          <w:szCs w:val="20"/>
          <w:color w:val="auto"/>
        </w:rPr>
      </w:pPr>
      <w:r>
        <w:rPr>
          <w:rFonts w:ascii="Times New Roman" w:cs="Times New Roman" w:eastAsia="Times New Roman" w:hAnsi="Times New Roman"/>
          <w:sz w:val="18"/>
          <w:szCs w:val="18"/>
          <w:color w:val="auto"/>
        </w:rPr>
        <w:t>423,922</w:t>
      </w:r>
      <w:r>
        <w:rPr>
          <w:sz w:val="20"/>
          <w:szCs w:val="20"/>
          <w:color w:val="auto"/>
        </w:rPr>
        <w:tab/>
      </w:r>
      <w:r>
        <w:rPr>
          <w:rFonts w:ascii="Times New Roman" w:cs="Times New Roman" w:eastAsia="Times New Roman" w:hAnsi="Times New Roman"/>
          <w:sz w:val="18"/>
          <w:szCs w:val="18"/>
          <w:color w:val="auto"/>
        </w:rPr>
        <w:t>6.2</w:t>
      </w:r>
    </w:p>
    <w:p>
      <w:pPr>
        <w:spacing w:after="0" w:line="6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3,565,810</w:t>
      </w:r>
      <w:r>
        <w:rPr>
          <w:sz w:val="20"/>
          <w:szCs w:val="20"/>
          <w:color w:val="auto"/>
        </w:rPr>
        <w:tab/>
      </w:r>
      <w:r>
        <w:rPr>
          <w:rFonts w:ascii="Times New Roman" w:cs="Times New Roman" w:eastAsia="Times New Roman" w:hAnsi="Times New Roman"/>
          <w:sz w:val="18"/>
          <w:szCs w:val="18"/>
          <w:color w:val="auto"/>
        </w:rPr>
        <w:t>47.0</w:t>
      </w:r>
    </w:p>
    <w:p>
      <w:pPr>
        <w:spacing w:after="0" w:line="463"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ownership of less than one percent.</w:t>
      </w:r>
    </w:p>
    <w:p>
      <w:pPr>
        <w:spacing w:after="0" w:line="244" w:lineRule="exact"/>
        <w:rPr>
          <w:sz w:val="20"/>
          <w:szCs w:val="20"/>
          <w:color w:val="auto"/>
        </w:rPr>
      </w:pPr>
    </w:p>
    <w:p>
      <w:pPr>
        <w:jc w:val="both"/>
        <w:ind w:left="340" w:hanging="332"/>
        <w:spacing w:after="0" w:line="265"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 Schedule 13D/A filed on October 22, 2024 by Curative Ventures V LLC (“CVV”), CV-Immetacyte Manager LP (“CV-Immetacyte Manager”), CV-Immetacyte Ultimate Manager LLC (“Ultimate Manager”), SB2A LP (“SB2A”), SB2A Management LLC (“SB2A Management”) and Bronson Crouch, our Chief Executive Officer and Chairman. Consists of 1,899,003 shares held directly by CVV and 119,999 shares held directly by SB2A. CVV, CV-Immetacyte Manager and Ultimate Manager share voting and dispositive power over the shares of common stock held by CVV, and SB2A and SB2A Management share voting and dispositive power the shares of common stock held by CVV and SB2A. Ultimate Manager is the general partner of CV-Immetacyte Manager, the manager of CVV. SB2A Management is the general partner of SB2A. Mr. Crouch is the manager of Ultimate Manager and the managing member of SB2A Management and shares voting and dispositive power over the shares held by CVV and SB2A. The business address for Mr. Crouch and the entities referenced in this footnote is 3963 Maple Avenue Suite 390, Dallas, Texas 75219.</w:t>
      </w:r>
    </w:p>
    <w:p>
      <w:pPr>
        <w:spacing w:after="0" w:line="78"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 Schedule 13D filed with the SEC on April 1, 2021 by CPMG, Inc., a Form 4 filed with the SEC on March 15, 2022 by R. Kent McGaughy, Jr. and a Schedule 13F filed with the SEC on February 17, 2026 by CPMG, Inc. Consists of 410,922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81"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4"/>
          <w:szCs w:val="14"/>
          <w:color w:val="auto"/>
        </w:rPr>
        <w:t>stock held for the account of Ibisbill, LP, for which CPMG, Inc. is the general partner and investment manager. R. Kent McGaughy, Jr., a member of our Board, is the sole shareholder and managing director of CPMG, Inc. and may be deemed to share voting and investment power with respect to the shares beneficially owned by Ibisbill, LP. The business address of the entities referenced in this footnote is 2000 McKinney Ave, Suite 2125, Dallas, Texas 75201.</w:t>
      </w:r>
    </w:p>
    <w:p>
      <w:pPr>
        <w:spacing w:after="0" w:line="56" w:lineRule="exact"/>
        <w:rPr>
          <w:sz w:val="20"/>
          <w:szCs w:val="20"/>
          <w:color w:val="auto"/>
        </w:rPr>
      </w:pPr>
    </w:p>
    <w:p>
      <w:pPr>
        <w:jc w:val="both"/>
        <w:ind w:left="340" w:hanging="332"/>
        <w:spacing w:after="0" w:line="28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 Schedule 13G/A filed with the SEC on February 9, 2026. BML Investment Partners, L.P. (“BML Partners”) and Braden M. Leonard report shared voting and dispositive power with respect to the shares of common stock held by BML Partners. BML Capital Management, LLC is the general partner of BML Partners. Mr. Leonard is the managing member of BML Capital Management, LLC. The business address for the entities and individual referenced in this footnote is 65 E Cedar Street, Suite 2, Zionsville, Indiana 46077.</w:t>
      </w:r>
    </w:p>
    <w:p>
      <w:pPr>
        <w:spacing w:after="0" w:line="69"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the shares of common stock held by CVV and SB2A, as discussed in footnote 1, (ii) 126,893 shares of common stock held directly by Mr. Crouch and (iii) 546,225 shares of common stock issuable upon the exercise of options exercisable within 60 days of April 13, 2026.</w:t>
      </w:r>
    </w:p>
    <w:p>
      <w:pPr>
        <w:spacing w:after="0" w:line="40"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159,999 shares of common stock held by Bearing Circle Capital LLC and (ii) 212,069 shares of common stock issuable upon the exercise of options exercisable within 60 days of April 13, 2026. Dr. Laumas is managing member of the Bearing Circle Capital LLC and may be deemed to have sole voting and investment power with respect to the shares held by Bearing Circle Capital LLC.</w:t>
      </w:r>
    </w:p>
    <w:p>
      <w:pPr>
        <w:spacing w:after="0" w:line="6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13,600 shares of common stock issuable upon the exercise of options exercisable within 60 days of April 13, 2026.</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13,000 shares of common stock issuable upon the exercise of options exercisable within 60 days of April 13, 2026.</w:t>
      </w:r>
    </w:p>
    <w:p>
      <w:pPr>
        <w:spacing w:after="0" w:line="109"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 shares of common stock held by Matcham LLC and 13,000 shares of common stock issuable upon the exercise of options exercisable within 60 days of April 13, 2026. Dr. Matcham is co-principal of Matcham LLC and may be deemed to have sole voting and investment power with respect to the shares held by Matcham LLC.</w:t>
      </w:r>
    </w:p>
    <w:p>
      <w:pPr>
        <w:spacing w:after="0" w:line="53"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the shares of common stock held by Ibisbill, LP, as described in footnote 3 above, and (ii) 13,000 shares of common stock issuable upon the exercise of options exercisable within 60 days of April 13, 2026.</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of 810,894 shares of common stock issuable upon the exercise of options exercisable within 60 days of April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2025, were: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Bronson Crouch, our Chief Executive Officer and Chairman;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Sandeep Laumas, M.D., our Chief Financial Officer and Chief Business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fiscal years ended December 31, 2025 and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4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32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Option Awards ($)</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Compensation ($)</w:t>
            </w:r>
          </w:p>
        </w:tc>
        <w:tc>
          <w:tcPr>
            <w:tcW w:w="1460" w:type="dxa"/>
            <w:vAlign w:val="bottom"/>
            <w:vMerge w:val="continue"/>
          </w:tcPr>
          <w:p>
            <w:pPr>
              <w:spacing w:after="0"/>
              <w:rPr>
                <w:sz w:val="12"/>
                <w:szCs w:val="12"/>
                <w:color w:val="auto"/>
              </w:rPr>
            </w:pPr>
          </w:p>
        </w:tc>
        <w:tc>
          <w:tcPr>
            <w:tcW w:w="12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4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Bronson Crouch</w:t>
            </w:r>
            <w:r>
              <w:rPr>
                <w:rFonts w:ascii="Times New Roman" w:cs="Times New Roman" w:eastAsia="Times New Roman" w:hAnsi="Times New Roman"/>
                <w:sz w:val="18"/>
                <w:szCs w:val="18"/>
                <w:color w:val="auto"/>
                <w:vertAlign w:val="superscript"/>
              </w:rPr>
              <w:t>(3)</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740,520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1,079,521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421,171</w:t>
            </w:r>
          </w:p>
        </w:tc>
        <w:tc>
          <w:tcPr>
            <w:tcW w:w="14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8"/>
              </w:rPr>
              <w:t>15,200</w:t>
            </w:r>
            <w:r>
              <w:rPr>
                <w:rFonts w:ascii="Times New Roman" w:cs="Times New Roman" w:eastAsia="Times New Roman" w:hAnsi="Times New Roman"/>
                <w:sz w:val="18"/>
                <w:szCs w:val="18"/>
                <w:color w:val="auto"/>
                <w:w w:val="98"/>
                <w:vertAlign w:val="superscript"/>
              </w:rPr>
              <w:t>(4)</w:t>
            </w:r>
          </w:p>
        </w:tc>
        <w:tc>
          <w:tcPr>
            <w:tcW w:w="12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2,256,412</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w:t>
            </w: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712,039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462,825</w:t>
            </w:r>
            <w:r>
              <w:rPr>
                <w:rFonts w:ascii="Times New Roman" w:cs="Times New Roman" w:eastAsia="Times New Roman" w:hAnsi="Times New Roman"/>
                <w:sz w:val="18"/>
                <w:szCs w:val="18"/>
                <w:color w:val="auto"/>
                <w:w w:val="97"/>
                <w:vertAlign w:val="superscript"/>
              </w:rPr>
              <w:t>(5)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3,671,838</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462,825</w:t>
            </w:r>
          </w:p>
        </w:tc>
        <w:tc>
          <w:tcPr>
            <w:tcW w:w="14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8"/>
              </w:rPr>
              <w:t>14,331</w:t>
            </w:r>
            <w:r>
              <w:rPr>
                <w:rFonts w:ascii="Times New Roman" w:cs="Times New Roman" w:eastAsia="Times New Roman" w:hAnsi="Times New Roman"/>
                <w:sz w:val="18"/>
                <w:szCs w:val="18"/>
                <w:color w:val="auto"/>
                <w:w w:val="98"/>
                <w:vertAlign w:val="superscript"/>
              </w:rPr>
              <w:t>(6)</w:t>
            </w: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5,323,858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Sandeep Laumas</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528,943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460,431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231,413</w:t>
            </w:r>
          </w:p>
        </w:tc>
        <w:tc>
          <w:tcPr>
            <w:tcW w:w="14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8"/>
              </w:rPr>
              <w:t>15,200</w:t>
            </w:r>
            <w:r>
              <w:rPr>
                <w:rFonts w:ascii="Times New Roman" w:cs="Times New Roman" w:eastAsia="Times New Roman" w:hAnsi="Times New Roman"/>
                <w:sz w:val="18"/>
                <w:szCs w:val="18"/>
                <w:color w:val="auto"/>
                <w:w w:val="98"/>
                <w:vertAlign w:val="superscript"/>
              </w:rPr>
              <w:t>(4)</w:t>
            </w:r>
          </w:p>
        </w:tc>
        <w:tc>
          <w:tcPr>
            <w:tcW w:w="12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1,235,987</w:t>
            </w:r>
          </w:p>
        </w:tc>
        <w:tc>
          <w:tcPr>
            <w:tcW w:w="0" w:type="dxa"/>
            <w:vAlign w:val="bottom"/>
          </w:tcPr>
          <w:p>
            <w:pPr>
              <w:spacing w:after="0"/>
              <w:rPr>
                <w:sz w:val="1"/>
                <w:szCs w:val="1"/>
                <w:color w:val="auto"/>
              </w:rPr>
            </w:pPr>
          </w:p>
        </w:tc>
      </w:tr>
      <w:tr>
        <w:trPr>
          <w:trHeight w:val="248"/>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 and Chief Business Officer</w:t>
            </w: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508,599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254,300</w:t>
            </w:r>
            <w:r>
              <w:rPr>
                <w:rFonts w:ascii="Times New Roman" w:cs="Times New Roman" w:eastAsia="Times New Roman" w:hAnsi="Times New Roman"/>
                <w:sz w:val="18"/>
                <w:szCs w:val="18"/>
                <w:color w:val="auto"/>
                <w:w w:val="97"/>
                <w:vertAlign w:val="superscript"/>
              </w:rPr>
              <w:t>(5)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3,061,029</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254,300</w:t>
            </w:r>
          </w:p>
        </w:tc>
        <w:tc>
          <w:tcPr>
            <w:tcW w:w="14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6"/>
              </w:rPr>
              <w:t>1,200</w:t>
            </w:r>
            <w:r>
              <w:rPr>
                <w:rFonts w:ascii="Times New Roman" w:cs="Times New Roman" w:eastAsia="Times New Roman" w:hAnsi="Times New Roman"/>
                <w:sz w:val="18"/>
                <w:szCs w:val="18"/>
                <w:color w:val="auto"/>
                <w:w w:val="96"/>
                <w:vertAlign w:val="superscript"/>
              </w:rPr>
              <w:t>(7)</w:t>
            </w: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4,079,428</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13" w:lineRule="exact"/>
        <w:rPr>
          <w:sz w:val="20"/>
          <w:szCs w:val="20"/>
          <w:color w:val="auto"/>
        </w:rPr>
      </w:pPr>
    </w:p>
    <w:p>
      <w:pPr>
        <w:jc w:val="both"/>
        <w:ind w:left="340" w:hanging="332"/>
        <w:spacing w:after="0" w:line="266"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10 “Stock-Based Compensation” to our financial statements included in our Annual Report on Form 10-K for the year ended December 31, 2025. These amounts do not reflect the actual economic value that will be realized by the named executive officer upon vesting of the stock options, the exercise of the stock options, or the sale of the common stock underlying such stock options.</w:t>
      </w:r>
    </w:p>
    <w:p>
      <w:pPr>
        <w:spacing w:after="0" w:line="79"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“—Narrative to Summary Compensation Table—Non-Equity Incentive Plan Compensation” below for a description of the material terms of the program pursuant to which this compensation was awarded.</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Crouch is also a member of our Board, but did not receive any additional compensation in his capacity as a director.</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$14,000 in employer contributions to a 401(k) plan and a $1,200 phone allowance. See “—Retirement Benefits and Other Compensation.”</w:t>
      </w:r>
    </w:p>
    <w:p>
      <w:pPr>
        <w:spacing w:after="0" w:line="122"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discretionary retention bonus payments, which were subject to repayment to the Company in full within 30 days of termination in the event the named executive officer resigned without good reason or was terminated for cause at any time on or prior to February 12, 2025. See “—Narrative to Summary Compensation Table—Retention Bonuses” below for a description of the material terms of the retention bonus agreements pursuant to which this compensation was awarded.</w:t>
      </w:r>
    </w:p>
    <w:p>
      <w:pPr>
        <w:spacing w:after="0" w:line="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$13,131 in employer contributions to a 401(k) plan and a $1,200 phone allowance. See “—Retirement Benefits and Other Compensation.”</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$1,200 phone allowance.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of our Board has historically determined our executives’ compensation, including the compensation of our named executive officers other than our Chief Executive Officer.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other than our Chief Executive Officer without members of management present. Our Board has historically determined the compensation of our Chief Executive Officer upon recommendation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base salaries of our named executive officers other than our Chief Executive Officer are determined, approved and reviewed by our Compensation Committee. The annual base salary of our Chief Executive Officer is determined, approved and reviewed by our Board upon the recommendation of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annual base salaries for our named executive officers for 2025:</w:t>
            </w:r>
          </w:p>
        </w:tc>
        <w:tc>
          <w:tcPr>
            <w:tcW w:w="2740" w:type="dxa"/>
            <w:vAlign w:val="bottom"/>
          </w:tcPr>
          <w:p>
            <w:pPr>
              <w:spacing w:after="0"/>
              <w:rPr>
                <w:sz w:val="20"/>
                <w:szCs w:val="20"/>
                <w:color w:val="auto"/>
              </w:rPr>
            </w:pPr>
          </w:p>
        </w:tc>
      </w:tr>
      <w:tr>
        <w:trPr>
          <w:trHeight w:val="464"/>
        </w:trPr>
        <w:tc>
          <w:tcPr>
            <w:tcW w:w="8500" w:type="dxa"/>
            <w:vAlign w:val="bottom"/>
          </w:tcPr>
          <w:p>
            <w:pPr>
              <w:spacing w:after="0"/>
              <w:rPr>
                <w:sz w:val="24"/>
                <w:szCs w:val="24"/>
                <w:color w:val="auto"/>
              </w:rPr>
            </w:pPr>
          </w:p>
        </w:tc>
        <w:tc>
          <w:tcPr>
            <w:tcW w:w="27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Base</w:t>
            </w:r>
          </w:p>
        </w:tc>
      </w:tr>
      <w:tr>
        <w:trPr>
          <w:trHeight w:val="265"/>
        </w:trPr>
        <w:tc>
          <w:tcPr>
            <w:tcW w:w="8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Bronson Crouch</w:t>
            </w:r>
          </w:p>
        </w:tc>
        <w:tc>
          <w:tcPr>
            <w:tcW w:w="2740" w:type="dxa"/>
            <w:vAlign w:val="bottom"/>
            <w:tcBorders>
              <w:bottom w:val="single" w:sz="8" w:color="CCEEFF"/>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740,520</w:t>
            </w: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Laumas, M.D.</w:t>
            </w:r>
          </w:p>
        </w:tc>
        <w:tc>
          <w:tcPr>
            <w:tcW w:w="27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528,943</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the Board approved the following annual base salaries for each of our named executive officers, effective as of January 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5360" w:type="dxa"/>
            <w:vAlign w:val="bottom"/>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Base</w:t>
            </w:r>
          </w:p>
        </w:tc>
      </w:tr>
      <w:tr>
        <w:trPr>
          <w:trHeight w:val="265"/>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360" w:type="dxa"/>
            <w:vAlign w:val="bottom"/>
            <w:tcBorders>
              <w:bottom w:val="single" w:sz="8" w:color="auto"/>
            </w:tcBorders>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Bronson Crouch</w:t>
            </w:r>
          </w:p>
        </w:tc>
        <w:tc>
          <w:tcPr>
            <w:tcW w:w="5360" w:type="dxa"/>
            <w:vAlign w:val="bottom"/>
            <w:tcBorders>
              <w:bottom w:val="single" w:sz="8" w:color="CCEEFF"/>
            </w:tcBorders>
            <w:shd w:val="clear" w:color="auto" w:fill="CCEEFF"/>
          </w:tcPr>
          <w:p>
            <w:pPr>
              <w:jc w:val="center"/>
              <w:ind w:left="3610"/>
              <w:spacing w:after="0"/>
              <w:rPr>
                <w:sz w:val="20"/>
                <w:szCs w:val="20"/>
                <w:color w:val="auto"/>
              </w:rPr>
            </w:pPr>
            <w:r>
              <w:rPr>
                <w:rFonts w:ascii="Times New Roman" w:cs="Times New Roman" w:eastAsia="Times New Roman" w:hAnsi="Times New Roman"/>
                <w:sz w:val="18"/>
                <w:szCs w:val="18"/>
                <w:color w:val="auto"/>
                <w:w w:val="99"/>
              </w:rPr>
              <w:t>767,179</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Laumas, M.D.</w:t>
            </w:r>
          </w:p>
        </w:tc>
        <w:tc>
          <w:tcPr>
            <w:tcW w:w="536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w w:val="99"/>
              </w:rPr>
              <w:t>547,985</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develops a performance-based bonus program annually. For 2025, the Compensation Committee determined that each named executive officer’s performance bonus should be based principally on contribution towards the achievement of corporate goals. Under the 2025 annual performance bonus program, each named executive officer was eligible to be considered for an annual performance bonus based on the percentage of attainment, as determined by the Compensation Committee, of the 2025 corporate goals that were previously approved by the Compensation Committee.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annual base salary and may earn more or less than the annual target amount based on the Company’s achievement of the performance goals and the adjustments described above. For 2025, Mr. Crouch’s target bonus percentage was 65% of his annual base salary, and Dr. Laumas’s target bonus percentage was 50% of his annual base salary. The Compensation Committee and Board determined that, after consideration of the Company’s performance against the 2025 corporate goals, that bonus amounts of $421,171 and $231,413 would be payable to Mr. Crouch and Dr. Laumas, respectively in respect of 2025 performance.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Like the performance-based bonus program approved for 2025, the Compensation Committee developed a performance-based bonus program for 2024. For 2024, Mr. Crouch’s target bonus percentage was 65% of his annual base salary, and Dr. Laumas’s target bonus percentage was 50% of his annual base salary. The Board determined that, after consideration of the Company’s performance against the 2024 corporate goals, that bonus amounts of $462,825 and $254,300 would be payable to Mr. Crouch and Dr. Laumas, respectively, in respect of 2024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Bonuses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the Company entered into retention bonus agreements (the “Retention Bonus Agreements”) with each of Mr. Crouch and Dr. Laumas. Pursuant to the Retention Bonus Agreements, the Company agreed to pay one-year retention bonuses to Mr. Crouch and Dr. Laumas in the amount of $462,825 and $254,300, respectively (each, a “Retention Bonus”). Pursuant to the terms of the Retention Bonus Agreements, each of Mr. Crouch and Dr. Laumas earned his respective Retention Bonus upon remaining employed with the Company in good standing through February 12, 2025, which amounts are reflected in the column of the Summary Compensation Table above entitled “Bonus”.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or to reward executives for exceptional performance.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18, 2024, Mr. Crouch and Dr. Laumas were granted stock options with an exercise price per share of $66.10, which was the closing share price on the date of grant. The Board approved the September 2024 option grants to reward Mr. Crouch and Dr. Laumas for the Company’s strong performance since the beginning of the year, and these stock options can only deliver value when the Company’s share price exceeds $66.10. As of April 13, 2026, the record date for the Annual Meeting, the Company’s closing share price was $8.35, and as such, the September 2024 options were underwater, despite representing approximately 72% and 77% of the aggregate grant date fair value of all options awarded to Mr. Crouch and Dr. Laumas, respectively, in 2024 reflected in the Summary Compensation Table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we granted all equity awards pursuant to our Amended and Restated 2018 Stock Incentive Plan (the “2018 Plan”). Since the closing of our initial public offering, we grant all equity awards pursuant to our 2021 Equity Incentive Plan, as amended (the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32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Option Awards</w:t>
            </w:r>
            <w:r>
              <w:rPr>
                <w:rFonts w:ascii="Times New Roman" w:cs="Times New Roman" w:eastAsia="Times New Roman" w:hAnsi="Times New Roman"/>
                <w:sz w:val="23"/>
                <w:szCs w:val="23"/>
                <w:b w:val="1"/>
                <w:bCs w:val="1"/>
                <w:color w:val="auto"/>
                <w:w w:val="99"/>
                <w:vertAlign w:val="superscript"/>
              </w:rPr>
              <w:t>(1)</w:t>
            </w:r>
          </w:p>
        </w:tc>
        <w:tc>
          <w:tcPr>
            <w:tcW w:w="18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r>
      <w:tr>
        <w:trPr>
          <w:trHeight w:val="214"/>
        </w:trPr>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Option Exercise Price</w:t>
            </w:r>
          </w:p>
        </w:tc>
        <w:tc>
          <w:tcPr>
            <w:tcW w:w="1920" w:type="dxa"/>
            <w:vAlign w:val="bottom"/>
          </w:tcPr>
          <w:p>
            <w:pPr>
              <w:spacing w:after="0"/>
              <w:rPr>
                <w:sz w:val="18"/>
                <w:szCs w:val="18"/>
                <w:color w:val="auto"/>
              </w:rPr>
            </w:pPr>
          </w:p>
        </w:tc>
      </w:tr>
      <w:tr>
        <w:trPr>
          <w:trHeight w:val="267"/>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Exercisable</w:t>
            </w:r>
            <w:r>
              <w:rPr>
                <w:rFonts w:ascii="Times New Roman" w:cs="Times New Roman" w:eastAsia="Times New Roman" w:hAnsi="Times New Roman"/>
                <w:sz w:val="23"/>
                <w:szCs w:val="23"/>
                <w:b w:val="1"/>
                <w:bCs w:val="1"/>
                <w:color w:val="auto"/>
                <w:w w:val="96"/>
                <w:vertAlign w:val="superscript"/>
              </w:rPr>
              <w:t>(2)</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Unexercisable</w:t>
            </w:r>
            <w:r>
              <w:rPr>
                <w:rFonts w:ascii="Times New Roman" w:cs="Times New Roman" w:eastAsia="Times New Roman" w:hAnsi="Times New Roman"/>
                <w:sz w:val="23"/>
                <w:szCs w:val="23"/>
                <w:b w:val="1"/>
                <w:bCs w:val="1"/>
                <w:color w:val="auto"/>
                <w:w w:val="96"/>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Option Expiration Date</w:t>
            </w:r>
          </w:p>
        </w:tc>
      </w:tr>
      <w:tr>
        <w:trPr>
          <w:trHeight w:val="243"/>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Bronson Crouch</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8/29/2019</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43,108</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8/28/2029</w:t>
            </w:r>
          </w:p>
        </w:tc>
      </w:tr>
      <w:tr>
        <w:trPr>
          <w:trHeight w:val="243"/>
        </w:trPr>
        <w:tc>
          <w:tcPr>
            <w:tcW w:w="23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146,101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23.00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8/5/2030</w:t>
            </w:r>
          </w:p>
        </w:tc>
      </w:tr>
      <w:tr>
        <w:trPr>
          <w:trHeight w:val="27"/>
        </w:trPr>
        <w:tc>
          <w:tcPr>
            <w:tcW w:w="2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2/10/2021</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59,999</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118.80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2/9/2031</w:t>
            </w:r>
          </w:p>
        </w:tc>
      </w:tr>
      <w:tr>
        <w:trPr>
          <w:trHeight w:val="243"/>
        </w:trPr>
        <w:tc>
          <w:tcPr>
            <w:tcW w:w="23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2/10/2021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118.80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2/9/2031</w:t>
            </w:r>
          </w:p>
        </w:tc>
      </w:tr>
      <w:tr>
        <w:trPr>
          <w:trHeight w:val="27"/>
        </w:trPr>
        <w:tc>
          <w:tcPr>
            <w:tcW w:w="2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5/11/2021</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325.00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5/10/2031</w:t>
            </w:r>
          </w:p>
        </w:tc>
      </w:tr>
      <w:tr>
        <w:trPr>
          <w:trHeight w:val="270"/>
        </w:trPr>
        <w:tc>
          <w:tcPr>
            <w:tcW w:w="23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3/4/2022</w:t>
            </w:r>
            <w:r>
              <w:rPr>
                <w:rFonts w:ascii="Times New Roman" w:cs="Times New Roman" w:eastAsia="Times New Roman" w:hAnsi="Times New Roman"/>
                <w:sz w:val="23"/>
                <w:szCs w:val="23"/>
                <w:color w:val="auto"/>
                <w:w w:val="95"/>
                <w:vertAlign w:val="superscript"/>
              </w:rPr>
              <w:t>(3)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35,154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2,346</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172.40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3/3/2032</w:t>
            </w:r>
          </w:p>
        </w:tc>
      </w:tr>
      <w:tr>
        <w:trPr>
          <w:trHeight w:val="270"/>
        </w:trPr>
        <w:tc>
          <w:tcPr>
            <w:tcW w:w="232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1/8/2023</w:t>
            </w:r>
            <w:r>
              <w:rPr>
                <w:rFonts w:ascii="Times New Roman" w:cs="Times New Roman" w:eastAsia="Times New Roman" w:hAnsi="Times New Roman"/>
                <w:sz w:val="23"/>
                <w:szCs w:val="23"/>
                <w:color w:val="auto"/>
                <w:w w:val="95"/>
                <w:vertAlign w:val="superscript"/>
              </w:rPr>
              <w:t>(3)</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36,453</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13,546</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12.68</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1/7/2033</w:t>
            </w:r>
          </w:p>
        </w:tc>
      </w:tr>
      <w:tr>
        <w:trPr>
          <w:trHeight w:val="270"/>
        </w:trPr>
        <w:tc>
          <w:tcPr>
            <w:tcW w:w="23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2/10/2024</w:t>
            </w:r>
            <w:r>
              <w:rPr>
                <w:rFonts w:ascii="Times New Roman" w:cs="Times New Roman" w:eastAsia="Times New Roman" w:hAnsi="Times New Roman"/>
                <w:sz w:val="23"/>
                <w:szCs w:val="23"/>
                <w:color w:val="auto"/>
                <w:w w:val="94"/>
                <w:vertAlign w:val="superscript"/>
              </w:rPr>
              <w:t>(3)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2/9/2034</w:t>
            </w:r>
          </w:p>
        </w:tc>
      </w:tr>
      <w:tr>
        <w:trPr>
          <w:trHeight w:val="270"/>
        </w:trPr>
        <w:tc>
          <w:tcPr>
            <w:tcW w:w="232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9/18/2024</w:t>
            </w:r>
            <w:r>
              <w:rPr>
                <w:rFonts w:ascii="Times New Roman" w:cs="Times New Roman" w:eastAsia="Times New Roman" w:hAnsi="Times New Roman"/>
                <w:sz w:val="23"/>
                <w:szCs w:val="23"/>
                <w:color w:val="auto"/>
                <w:w w:val="94"/>
                <w:vertAlign w:val="superscript"/>
              </w:rPr>
              <w:t>(3)</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15,625</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34,375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66.10</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9/17/2034</w:t>
            </w:r>
          </w:p>
        </w:tc>
      </w:tr>
      <w:tr>
        <w:trPr>
          <w:trHeight w:val="270"/>
        </w:trPr>
        <w:tc>
          <w:tcPr>
            <w:tcW w:w="2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4/25/2025</w:t>
            </w:r>
            <w:r>
              <w:rPr>
                <w:rFonts w:ascii="Times New Roman" w:cs="Times New Roman" w:eastAsia="Times New Roman" w:hAnsi="Times New Roman"/>
                <w:sz w:val="23"/>
                <w:szCs w:val="23"/>
                <w:color w:val="auto"/>
                <w:w w:val="94"/>
                <w:vertAlign w:val="superscript"/>
              </w:rPr>
              <w:t>(3)</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105,157</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12.78</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4/24/2035</w:t>
            </w:r>
          </w:p>
        </w:tc>
      </w:tr>
      <w:tr>
        <w:trPr>
          <w:trHeight w:val="244"/>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Sandeep Laumas, M.D.</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8/29/2019</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39,500</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8/28/2029</w:t>
            </w:r>
          </w:p>
        </w:tc>
      </w:tr>
      <w:tr>
        <w:trPr>
          <w:trHeight w:val="243"/>
        </w:trPr>
        <w:tc>
          <w:tcPr>
            <w:tcW w:w="23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8/29/2019</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8/28/2029</w:t>
            </w:r>
          </w:p>
        </w:tc>
      </w:tr>
      <w:tr>
        <w:trPr>
          <w:trHeight w:val="27"/>
        </w:trPr>
        <w:tc>
          <w:tcPr>
            <w:tcW w:w="2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31,589</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23.00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8/5/2030</w:t>
            </w:r>
          </w:p>
        </w:tc>
      </w:tr>
      <w:tr>
        <w:trPr>
          <w:trHeight w:val="243"/>
        </w:trPr>
        <w:tc>
          <w:tcPr>
            <w:tcW w:w="23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2/10/2021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118.00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2/9/2031</w:t>
            </w:r>
          </w:p>
        </w:tc>
      </w:tr>
      <w:tr>
        <w:trPr>
          <w:trHeight w:val="27"/>
        </w:trPr>
        <w:tc>
          <w:tcPr>
            <w:tcW w:w="2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2/10/2021</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11,999</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118.00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2/9/2031</w:t>
            </w:r>
          </w:p>
        </w:tc>
      </w:tr>
      <w:tr>
        <w:trPr>
          <w:trHeight w:val="243"/>
        </w:trPr>
        <w:tc>
          <w:tcPr>
            <w:tcW w:w="23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5/10/2031</w:t>
            </w:r>
          </w:p>
        </w:tc>
      </w:tr>
      <w:tr>
        <w:trPr>
          <w:trHeight w:val="27"/>
        </w:trPr>
        <w:tc>
          <w:tcPr>
            <w:tcW w:w="2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32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3/4/2022</w:t>
            </w:r>
            <w:r>
              <w:rPr>
                <w:rFonts w:ascii="Times New Roman" w:cs="Times New Roman" w:eastAsia="Times New Roman" w:hAnsi="Times New Roman"/>
                <w:sz w:val="23"/>
                <w:szCs w:val="23"/>
                <w:color w:val="auto"/>
                <w:w w:val="95"/>
                <w:vertAlign w:val="superscript"/>
              </w:rPr>
              <w:t>(3)</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10,968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732</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172.40</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3/3/2032</w:t>
            </w:r>
          </w:p>
        </w:tc>
      </w:tr>
      <w:tr>
        <w:trPr>
          <w:trHeight w:val="270"/>
        </w:trPr>
        <w:tc>
          <w:tcPr>
            <w:tcW w:w="23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1/8/2023</w:t>
            </w:r>
            <w:r>
              <w:rPr>
                <w:rFonts w:ascii="Times New Roman" w:cs="Times New Roman" w:eastAsia="Times New Roman" w:hAnsi="Times New Roman"/>
                <w:sz w:val="23"/>
                <w:szCs w:val="23"/>
                <w:color w:val="auto"/>
                <w:w w:val="95"/>
                <w:vertAlign w:val="superscript"/>
              </w:rPr>
              <w:t>(3)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5,626</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12.68</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1/7/2033</w:t>
            </w:r>
          </w:p>
        </w:tc>
      </w:tr>
      <w:tr>
        <w:trPr>
          <w:trHeight w:val="270"/>
        </w:trPr>
        <w:tc>
          <w:tcPr>
            <w:tcW w:w="232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2/10/2024</w:t>
            </w:r>
            <w:r>
              <w:rPr>
                <w:rFonts w:ascii="Times New Roman" w:cs="Times New Roman" w:eastAsia="Times New Roman" w:hAnsi="Times New Roman"/>
                <w:sz w:val="23"/>
                <w:szCs w:val="23"/>
                <w:color w:val="auto"/>
                <w:w w:val="94"/>
                <w:vertAlign w:val="superscript"/>
              </w:rPr>
              <w:t>(3)</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19,666</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43,334</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11.60</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2/9/2034</w:t>
            </w:r>
          </w:p>
        </w:tc>
      </w:tr>
      <w:tr>
        <w:trPr>
          <w:trHeight w:val="270"/>
        </w:trPr>
        <w:tc>
          <w:tcPr>
            <w:tcW w:w="23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9/18/2024</w:t>
            </w:r>
            <w:r>
              <w:rPr>
                <w:rFonts w:ascii="Times New Roman" w:cs="Times New Roman" w:eastAsia="Times New Roman" w:hAnsi="Times New Roman"/>
                <w:sz w:val="23"/>
                <w:szCs w:val="23"/>
                <w:color w:val="auto"/>
                <w:w w:val="94"/>
                <w:vertAlign w:val="superscript"/>
              </w:rPr>
              <w:t>(3)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14,062</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30,938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66.10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9/17/2034</w:t>
            </w:r>
          </w:p>
        </w:tc>
      </w:tr>
      <w:tr>
        <w:trPr>
          <w:trHeight w:val="270"/>
        </w:trPr>
        <w:tc>
          <w:tcPr>
            <w:tcW w:w="2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4/25/2025</w:t>
            </w:r>
            <w:r>
              <w:rPr>
                <w:rFonts w:ascii="Times New Roman" w:cs="Times New Roman" w:eastAsia="Times New Roman" w:hAnsi="Times New Roman"/>
                <w:sz w:val="23"/>
                <w:szCs w:val="23"/>
                <w:color w:val="auto"/>
                <w:w w:val="94"/>
                <w:vertAlign w:val="superscript"/>
              </w:rPr>
              <w:t>(3)</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44,851</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12.78</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4/24/2035</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356" w:lineRule="exact"/>
        <w:rPr>
          <w:sz w:val="20"/>
          <w:szCs w:val="20"/>
          <w:color w:val="auto"/>
        </w:rPr>
      </w:pPr>
    </w:p>
    <w:p>
      <w:pPr>
        <w:ind w:left="340" w:hanging="332"/>
        <w:spacing w:after="0" w:line="282"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awards in this table granted prior to March 22, 2021 were granted under the 2018 Plan, and all awards in this table granted subsequent to March 22, 2021 were granted under the 2021 Equity Incentive Plan.</w:t>
      </w:r>
    </w:p>
    <w:p>
      <w:pPr>
        <w:spacing w:after="0" w:line="67"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listed in the table granted prior to March 22, 2021 were granted with a per share exercise price equal to or above the estimated fair value of our common stock on the date of grant, as determined in good faith by our Board. All of the option awards listed in the table granted after March 22, 2021 were granted with a per share exercise price equal to the closing price of one share of our common stock on the date of grant.</w:t>
      </w:r>
    </w:p>
    <w:p>
      <w:pPr>
        <w:spacing w:after="0" w:line="69"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this award vest on the first anniversary of the grant date, with the remaining shares vesting in substantially equal monthly installments over the three years thereafter, in each case subject to the named executive officer’s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named executive officers were eligible to participate in our employee benefits, including health insurance and group life insurance benefits, on the same basis as our other employees. We maintain a retirement savings plan pursuant to Section 401(k) of the Code covering all eligible employees. For employees who participate in our retirement savings plan, including our named executive officers, we have elected to make non-elective contributions totaling to 3% of an eligible employee’s gross salary, subject to any applicable statutory limits imposed by the Internal Revenue Service. We generally do not provide other perquisites or personal benefits except in limited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Bronson Crouch</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June 2020, we entered into an amended and restated executive employment agreement with Mr. Crouch that was effective as of the closing of the first sale of our Series B convertible preferred stock, pursuant to which Mr. Crouch serves as our Chief Executive Officer and as an employee at-will. Under his amended and restated executive employment agreement, Mr. Crouch is entitled to an annual base salary, which annual base salary will be reviewed and may be adjusted by the Board on an annual basis. In March 2026, our Board approved an increase of Mr. Crouch’s annual base salary to $767,179. Additionally, Mr. Crouch is eligible to receive an annual performance bonus with a target equal to 65% of his then-current base salary, contingent upon satisfaction of applicable performance goals. Under Mr. Crouch’s amended and restated executive employment agreement, 100% of the unvested shares subject to all stock options vest immediately prior to the closing of a change in control as defined in the 2018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Under Mr. Crouch’s amended and restated executive employment agreement, if he resigns for “good reason” or we terminate Mr. Crouch’s employment without “cause” not in connection with a change in control (each as defined in the amended and restated executive employment agreement, and excluding a termination on account of Mr. Crouch’s death or disability), Mr. Crouch shall be eligible to receive the following severance benefits:</w:t>
      </w:r>
    </w:p>
    <w:p>
      <w:pPr>
        <w:spacing w:after="0" w:line="6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amount equal to 18 months of his annual base salary;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payment for health premiums until the earlier of (i) 18 months; (ii) the date he becomes eligible for substantially equivalent health benefits; or (iii) the date he ceases to be eligible for COBRA continuation coverage at the level existing on the termination date;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12 months of accelerated vesting of all outstanding unvested time-based equity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Under Mr. Crouch’s amended and restated executive employment agreement, if he resigns for “good reason” or we terminate Mr. Crouch’s employment without “cause” within three months prior to or twelve months following the effective date of a change in control (each as defined in the amended and restated executive employment agreement, and excluding a termination on account of Mr. Crouch’s death or disability), Mr. Crouch shall be eligible to receive the following severance benefits:</w:t>
      </w:r>
    </w:p>
    <w:p>
      <w:pPr>
        <w:spacing w:after="0" w:line="7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amount equal to 18 months of his annual base salary;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payment for health premiums until the earlier of (i) 18 months; (ii) the date he becomes eligible for substantially equivalent health benefits; or (iii) the date he ceases to be eligible for COBRA continuation coverage at the level existing on the termination date;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 times his full target bonus for the calendar year in which his termination occurs which shall be equivalent to 97.5% of his then-current annual base salary;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effective as of the later of his change in control termination date or the effective date of the change in control, the vesting and exercisability of all outstanding unvested equity awards held by Mr. Crouch shall be accelerated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a condition to receiving the foregoing severance benefits, Mr. Crouch must sign and not revoke a general release contained in a separation agreement in the form presented by us, return all company property and confidential information in his possession, comply with his post-termination obligations, and resign from any positions held with us.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Under Mr. Crouch’s amended and restated employment agreement, if payments and benefits payable to Mr. Crouch in connection with a change in control are subject to Section 4999 of the Code, or the excise tax, then such payments and benefits will either be (i) reduced to an amount determined by us in good faith to be the maximum amount that may be provided to Mr. Crouch so that the excise tax does not apply or (ii) provided in full, such that Mr. Crouch receives the greater economic benefit notwithstanding that some or all of the payment or benefit may be subject to excise tax.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Sandeep Laumas, M.D.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May 2025, we entered into an amended and restated executive employment agreement with Dr. Laumas pursuant to which Dr. Laumas serves as our Chief Business Officer and Chief Financial Officer and as an employee at-will. Under his amended and restated executive employment agreement, Dr. Laumas is entitled to an annual base salary, which base salary will be reviewed and may be adjusted by the Board on an annual basis. In March 2026, our Board approved an increase of Dr. Laumas’s annual base salary to $547,985. Additionally, Dr. Laumas is eligible to receive an annual performance bonus with a target equal to 50% of his then-current base salary, contingent upon satisfaction of individual performance goals. Under Dr. Laumas’s amended and restated executive employment agreement, 100% of the unvested shares subject to all stock options vest immediately prior to the closing of a change in control as defined in the 2018 Plan.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Under Dr. Laumas’s amended and restated executive employment agreement, if he resigns for “good reason” or we terminate Dr. Laumas’s employment without “cause” not in connection with a change in control (each as defined in the amended and restated executive employment agreement, and excluding a termination on account of Dr. Laumas’s death or disability), Dr. Laumas shall be eligible to receive the following severance benefits:</w:t>
      </w:r>
    </w:p>
    <w:p>
      <w:pPr>
        <w:spacing w:after="0" w:line="6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amount equal to 12 months of his annual base salary;</w:t>
      </w:r>
    </w:p>
    <w:p>
      <w:pPr>
        <w:spacing w:after="0" w:line="117"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for health premiums until the earlier of (i) 12 months; (ii) the date he becomes eligible for substantially equivalent health benefits; or (iii) the date he ceases to be eligible for COBRA continuation coverage at the level existing on the termination date;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6 months of accelerated vesting of all outstanding unvested time-based equity awards.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Under Dr. Laumas’s amended and restated executive employment agreement, if he resigns for “good reason” or we terminate Dr. Laumas’s employment without “cause” within three months prior to or twelve months following the effective date of a change in control (each as defined in the amended and restated executive employment agreement, and excluding a termination on account of Dr. Laumas’s death or disability), Dr. Laumas shall be eligible to receive the following severance benefits:</w:t>
      </w:r>
    </w:p>
    <w:p>
      <w:pPr>
        <w:spacing w:after="0" w:line="7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amount equal to 12 months of his annual base salary;</w:t>
      </w:r>
    </w:p>
    <w:p>
      <w:pPr>
        <w:spacing w:after="0" w:line="117"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for health premiums until the earlier of (i) 12 months; (ii) the date he becomes eligible for substantially equivalent health benefits; or (iii) the date he ceases to be eligible for COBRA continuation coverage at the level existing on the termination date;</w:t>
      </w:r>
    </w:p>
    <w:p>
      <w:pPr>
        <w:spacing w:after="0" w:line="53"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amount equal to his full target bonus for the calendar year in which his termination occurs (which shall be equivalent to 50% of his then-current base salary); and</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effective as of the later of his change in control termination date or the effective date of the change in control, the vesting and exercisability of all outstanding unvested equity awards held by Dr. Laumas shall be accelerated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231F20"/>
        </w:rPr>
        <w:t>As a condition to receiving the foregoing severance benefits, Dr. Laumas must sign and not revoke a general release contained in a separation agreement in the form presented by us, return all company property and confidential information in his possession, comply with his post-termination obligations, and resign from any positions held with us.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Under Dr. Laumas’s amended and restated employment agreement, if payments and benefits payable to Dr. Laumas in connection with a change in control are subject to Section 4999 of the Code, then such payments and benefits will either be reduced to an amount determined by us in good faith to be the maximum amount that may be provided to Dr. Laumas so that the Section 4999 excise tax does not apply or provided in full, such that Dr. Laumas receives the greater economic benefit notwithstanding that some or all of the payment or benefit may be subject to excise tax.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Limit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we adopted an annual compensation limit applicable to our Chief Executive Officer in the event such officer directly or indirectly controls more than 35% of our outstanding common stock. This annual compensation limit is $6,000,000, subject to exceptions for, among other things, the Board’s fiduciary obligations, and excluding compensation payable in the event of termination, a change of control or as otherwise provided in an existing employment agreement.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as amended. In addition, in accordance with SEC rules we have adopted a Dodd-Frank Act compliant incentive compensation recoupment policy, or “clawback” policy, which applies to our executive officers, within the meaning of Section 10D of the Exchange Act and Rule 10D-1 promulgated thereunder, who were employed by us or a subsidiary of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policy covers any cash or equity-based incentive compensation award that was paid, earned or granted to an executive officer during the last completed three fiscal years immediately preceding the date on which we are required to prepare the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our non-employee directors: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382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Fees Earned or Paid</w:t>
            </w:r>
          </w:p>
        </w:tc>
        <w:tc>
          <w:tcPr>
            <w:tcW w:w="1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 ($)</w:t>
            </w:r>
            <w:r>
              <w:rPr>
                <w:rFonts w:ascii="Times New Roman" w:cs="Times New Roman" w:eastAsia="Times New Roman" w:hAnsi="Times New Roman"/>
                <w:sz w:val="23"/>
                <w:szCs w:val="23"/>
                <w:b w:val="1"/>
                <w:bCs w:val="1"/>
                <w:color w:val="auto"/>
                <w:vertAlign w:val="superscript"/>
              </w:rPr>
              <w:t>(2)</w:t>
            </w:r>
          </w:p>
        </w:tc>
        <w:tc>
          <w:tcPr>
            <w:tcW w:w="14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Total ($)</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vMerge w:val="continue"/>
          </w:tcPr>
          <w:p>
            <w:pPr>
              <w:spacing w:after="0"/>
              <w:rPr>
                <w:sz w:val="18"/>
                <w:szCs w:val="18"/>
                <w:color w:val="auto"/>
              </w:rPr>
            </w:pPr>
          </w:p>
        </w:tc>
        <w:tc>
          <w:tcPr>
            <w:tcW w:w="3820" w:type="dxa"/>
            <w:vAlign w:val="bottom"/>
            <w:tcBorders>
              <w:bottom w:val="single" w:sz="8" w:color="auto"/>
            </w:tcBorders>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19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Gwendolyn Binder, Ph.D.</w:t>
            </w:r>
          </w:p>
        </w:tc>
        <w:tc>
          <w:tcPr>
            <w:tcW w:w="3820" w:type="dxa"/>
            <w:vAlign w:val="bottom"/>
            <w:tcBorders>
              <w:bottom w:val="single" w:sz="8" w:color="CCEEFF"/>
            </w:tcBorders>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rPr>
              <w:t>62,500</w:t>
            </w:r>
          </w:p>
        </w:tc>
        <w:tc>
          <w:tcPr>
            <w:tcW w:w="190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9"/>
              </w:rPr>
              <w:t>136,671</w:t>
            </w:r>
          </w:p>
        </w:tc>
        <w:tc>
          <w:tcPr>
            <w:tcW w:w="1440" w:type="dxa"/>
            <w:vAlign w:val="bottom"/>
            <w:tcBorders>
              <w:bottom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199,171</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Gibson, Ph.D.</w:t>
            </w:r>
          </w:p>
        </w:tc>
        <w:tc>
          <w:tcPr>
            <w:tcW w:w="38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94,375</w:t>
            </w:r>
          </w:p>
        </w:tc>
        <w:tc>
          <w:tcPr>
            <w:tcW w:w="1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9"/>
              </w:rPr>
              <w:t>136,671</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231,046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Matcham, Ph.D.</w:t>
            </w:r>
          </w:p>
        </w:tc>
        <w:tc>
          <w:tcPr>
            <w:tcW w:w="3820" w:type="dxa"/>
            <w:vAlign w:val="bottom"/>
            <w:tcBorders>
              <w:bottom w:val="single" w:sz="8" w:color="CCEEFF"/>
            </w:tcBorders>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rPr>
              <w:t>74,372</w:t>
            </w:r>
          </w:p>
        </w:tc>
        <w:tc>
          <w:tcPr>
            <w:tcW w:w="190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9"/>
              </w:rPr>
              <w:t>136,671</w:t>
            </w:r>
          </w:p>
        </w:tc>
        <w:tc>
          <w:tcPr>
            <w:tcW w:w="1440" w:type="dxa"/>
            <w:vAlign w:val="bottom"/>
            <w:tcBorders>
              <w:bottom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211,043</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Kent McGaughy, Jr.</w:t>
            </w:r>
          </w:p>
        </w:tc>
        <w:tc>
          <w:tcPr>
            <w:tcW w:w="38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75,000</w:t>
            </w:r>
          </w:p>
        </w:tc>
        <w:tc>
          <w:tcPr>
            <w:tcW w:w="1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9"/>
              </w:rPr>
              <w:t>136,671</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211,671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1" w:lineRule="exact"/>
        <w:rPr>
          <w:sz w:val="20"/>
          <w:szCs w:val="20"/>
          <w:color w:val="auto"/>
        </w:rPr>
      </w:pPr>
    </w:p>
    <w:p>
      <w:pPr>
        <w:ind w:left="340" w:right="20" w:hanging="332"/>
        <w:spacing w:after="0" w:line="258"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Bronson Crouch, our Chief Executive Officer, is also a member of our Board, but he does not receive any additional compensation for his service as a director. Mr. Crouch’s compensation for the fiscal year ended December 31, 2025 is reflected in the Summary Compensation Table above.</w:t>
      </w:r>
    </w:p>
    <w:p>
      <w:pPr>
        <w:spacing w:after="0" w:line="83" w:lineRule="exact"/>
        <w:rPr>
          <w:rFonts w:ascii="Times New Roman" w:cs="Times New Roman" w:eastAsia="Times New Roman" w:hAnsi="Times New Roman"/>
          <w:sz w:val="14"/>
          <w:szCs w:val="14"/>
          <w:color w:val="auto"/>
        </w:rPr>
      </w:pPr>
    </w:p>
    <w:p>
      <w:pPr>
        <w:jc w:val="both"/>
        <w:ind w:left="340" w:hanging="332"/>
        <w:spacing w:after="0" w:line="265"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2025, as computed in accordance with Financial Accounting Standard Board Accounting Standards Codification Topic 718 for stock-based compensation transactions. Assumptions used in the calculation of these amounts are included in note 10 “Stock-Based Compensation” to our audited financial statements included in our Annual Report on Form 10-K for the year ended December 31, 2025.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80"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Dr. Binder held options to purchase 13,600 shares of our common stock, each of Dr. Gibson, Dr. Matcham, and Mr. McGaughy held options to purchase 13,000 shares of our common stock. None of our non-employee directors held any stock awards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the Non-Employee Director Compensation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adopted a non-employee director compensation policy, which became effective in March 2021 and has been subsequently amended from time to time, including most recently in March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non-employee director compensation policy, each eligible director is eligible to receive an annual cash retainer of $40,000 for serving on our Board, and the lead independent director of our Board is eligible to receive an additional annual cash retainer of $20,000 for his or her service. The chairperson of the audit committee of our Board is eligible to receive an additional annual cash retainer of $20,000, the chairperson of the compensation committee of our Board is eligible to receive an additional annual cash retainer of $12,000, and the chairperson of the nominating and corporate governance committee of our Board is eligible to receive an additional annual cash retainer of $8,000. The members of the audit committee of our Board are eligible to receive an additional annual cash retainer of $7,500, the members of the compensation committee of our Board are eligible to receive an additional annual cash retainer of $6,000, and the members of the nominating and corporate governance committee of our Board are eligible to receive an additional annual cash retainer of $4,000; however, in each case such cash retainer is payable only to members who were not the chairperson of such committee.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each non-employee director who is first elected or appointed to our Board will receive an option to purchase 6,500 shares of our common stock, which will vest in substantially equal monthly installments over a two-year period, provided that such grant will vest in full in the event of such director’s death or disability or upon a change in control (as such terms are defined in our 2021 Equity Incentive Plan), and each such new non-employee director who is first appointed to the Board on a date other than the date of the annual stockholder meeting will also receive a pro-rata portion of the annual grant for continuing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will be granted a non-statutory stock option to purchase 6,500 shares of our common stock under our 2021 Equity Incentive Plan, with the shares vesting in full on the date of the next annual stockholder meeting, subject to continued service as of such date, provided that the shares will vest in full in the event of such director’s death or disability or upon a change in control (as such terms are defined in our 2021 Equity Incentive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Compensation Limit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provided in our 2021 Equity Incentive Plan, and notwithstanding the foregoing, the aggregate value of all compensation granted or paid, as applicable, to any non-employee director with respect to any period commencing on the date of the Company’s annual meeting of stockholders for a particular year and ending on the day immediately prior to the date of the Company’s annual meeting of stockholders for the next subsequent year will not exceed (1) $750,000 in total value or (2) in the event such non-employee director is first appointed or elected to the Board during such period, $1,000,000 in total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incentive plans, which were our only equity compensation plans in effect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r>
      <w:tr>
        <w:trPr>
          <w:trHeight w:val="216"/>
        </w:trPr>
        <w:tc>
          <w:tcPr>
            <w:tcW w:w="2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r>
      <w:tr>
        <w:trPr>
          <w:trHeight w:val="216"/>
        </w:trPr>
        <w:tc>
          <w:tcPr>
            <w:tcW w:w="2220" w:type="dxa"/>
            <w:vAlign w:val="bottom"/>
          </w:tcPr>
          <w:p>
            <w:pPr>
              <w:spacing w:after="0"/>
              <w:rPr>
                <w:sz w:val="18"/>
                <w:szCs w:val="18"/>
                <w:color w:val="auto"/>
              </w:rPr>
            </w:pPr>
          </w:p>
        </w:tc>
        <w:tc>
          <w:tcPr>
            <w:tcW w:w="37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Number of securities to be issued</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 exercise price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 compensation plans</w:t>
            </w:r>
          </w:p>
        </w:tc>
      </w:tr>
      <w:tr>
        <w:trPr>
          <w:trHeight w:val="216"/>
        </w:trPr>
        <w:tc>
          <w:tcPr>
            <w:tcW w:w="2220" w:type="dxa"/>
            <w:vAlign w:val="bottom"/>
          </w:tcPr>
          <w:p>
            <w:pPr>
              <w:spacing w:after="0"/>
              <w:rPr>
                <w:sz w:val="18"/>
                <w:szCs w:val="18"/>
                <w:color w:val="auto"/>
              </w:rPr>
            </w:pPr>
          </w:p>
        </w:tc>
        <w:tc>
          <w:tcPr>
            <w:tcW w:w="37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upon exercise of outstanding</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outstanding options, warrants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(excluding securities reflected in</w:t>
            </w:r>
          </w:p>
        </w:tc>
      </w:t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7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options, warrants and rights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7"/>
        </w:trPr>
        <w:tc>
          <w:tcPr>
            <w:tcW w:w="2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7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3168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9" w:lineRule="exact"/>
        <w:rPr>
          <w:sz w:val="20"/>
          <w:szCs w:val="20"/>
          <w:color w:val="auto"/>
        </w:rPr>
      </w:pPr>
    </w:p>
    <w:p>
      <w:pPr>
        <w:ind w:left="20" w:right="260"/>
        <w:spacing w:after="0" w:line="281"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1,537,107</w:t>
            </w:r>
            <w:r>
              <w:rPr>
                <w:rFonts w:ascii="Times New Roman" w:cs="Times New Roman" w:eastAsia="Times New Roman" w:hAnsi="Times New Roman"/>
                <w:sz w:val="23"/>
                <w:szCs w:val="23"/>
                <w:color w:val="auto"/>
                <w:w w:val="95"/>
                <w:vertAlign w:val="superscript"/>
              </w:rPr>
              <w:t>(1)</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$46.84</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481,355</w:t>
            </w:r>
            <w:r>
              <w:rPr>
                <w:rFonts w:ascii="Times New Roman" w:cs="Times New Roman" w:eastAsia="Times New Roman" w:hAnsi="Times New Roman"/>
                <w:sz w:val="23"/>
                <w:szCs w:val="23"/>
                <w:color w:val="auto"/>
                <w:w w:val="94"/>
                <w:vertAlign w:val="superscript"/>
              </w:rPr>
              <w:t>(2)</w:t>
            </w:r>
          </w:p>
        </w:tc>
      </w:tr>
      <w:tr>
        <w:trPr>
          <w:trHeight w:val="417"/>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35"/>
        </w:trPr>
        <w:tc>
          <w:tcPr>
            <w:tcW w:w="27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r>
      <w:tr>
        <w:trPr>
          <w:trHeight w:val="237"/>
        </w:trPr>
        <w:tc>
          <w:tcPr>
            <w:tcW w:w="2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1,537,107</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$46.84</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481,355</w:t>
            </w:r>
          </w:p>
        </w:tc>
      </w:tr>
      <w:tr>
        <w:trPr>
          <w:trHeight w:val="27"/>
        </w:trPr>
        <w:tc>
          <w:tcPr>
            <w:tcW w:w="27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-213995</wp:posOffset>
            </wp:positionV>
            <wp:extent cx="7106285"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97485"/>
                    </a:xfrm>
                    <a:prstGeom prst="rect">
                      <a:avLst/>
                    </a:prstGeom>
                    <a:noFill/>
                  </pic:spPr>
                </pic:pic>
              </a:graphicData>
            </a:graphic>
          </wp:anchor>
        </w:drawing>
      </w:r>
    </w:p>
    <w:p>
      <w:pPr>
        <w:spacing w:after="0" w:line="395" w:lineRule="exact"/>
        <w:rPr>
          <w:sz w:val="20"/>
          <w:szCs w:val="20"/>
          <w:color w:val="auto"/>
        </w:rPr>
      </w:pPr>
    </w:p>
    <w:p>
      <w:pPr>
        <w:sectPr>
          <w:pgSz w:w="11900" w:h="16838" w:orient="portrait"/>
          <w:cols w:equalWidth="0" w:num="2">
            <w:col w:w="3180" w:space="80"/>
            <w:col w:w="7980"/>
          </w:cols>
          <w:pgMar w:left="320" w:top="1440" w:right="339" w:bottom="1440" w:gutter="0" w:footer="0" w:header="0"/>
          <w:type w:val="continuous"/>
        </w:sect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shares were granted under our 2018 Plan or 2021 Equity Incentive Plan.</w:t>
      </w:r>
    </w:p>
    <w:p>
      <w:pPr>
        <w:spacing w:after="0" w:line="109" w:lineRule="exact"/>
        <w:rPr>
          <w:rFonts w:ascii="Times New Roman" w:cs="Times New Roman" w:eastAsia="Times New Roman" w:hAnsi="Times New Roman"/>
          <w:sz w:val="14"/>
          <w:szCs w:val="14"/>
          <w:color w:val="auto"/>
        </w:rPr>
      </w:pPr>
    </w:p>
    <w:p>
      <w:pPr>
        <w:jc w:val="both"/>
        <w:ind w:left="340" w:hanging="332"/>
        <w:spacing w:after="0" w:line="264"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2021 Equity Incentive Plan and 2021 Employee Stock Purchase Plan. The number of shares of our common stock reserved for issuance under our 2021 Equity Incentive Plan automatically increases on January 1 of each calendar year, starting on January 1, 2022, and continuing through January 1, 2031, in an amount equal to 5% of the total number of shares of our capital stock outstanding on the last day of the calendar month before the date of each automatic increase, or a lesser number of shares determined by our Board. The number of shares available for future issuance under the 2021 Equity Incentive Plan increased by 339,098 shares as of January 1, 2026, due to the effect of this evergreen provision. The number of shares of our common stock reserved for issuance under our 2021 Employee Stock Purchase Plan automatically increases on January 1 of each calendar year, starting on January 1, 2022 and continuing through January 1, 2031, by the lesser of (i) 1% of the total number of shares of our common stock outstanding on the last day of the calendar month before the date of the automatic increase and (ii) 123,700 shares; provided that before the date of any such increase, our Board may determine that such increase will be less than the amount set forth in clauses (i) and (ii). Our Board determined that there would be no increase to the number of shares available for future issuance under the 2021 Employee Stock Purchase Plan as of January 1, 2026 pursuant to the evergreen provision. No shares have been issued under the 2021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19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Related-Person Transactions Policy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related person transactions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or, at any time we are a “smaller reporting company” as defined by Item 10(f)(1) of Regulation S-K, the lesser of (a) $120,000 and (b) one percent of the average of our total assets at year-end for the last two completed fiscal years.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 but not limited to:</w:t>
      </w:r>
    </w:p>
    <w:p>
      <w:pPr>
        <w:spacing w:after="0" w:line="8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change in control and other arrangements, which are described under “Executive Compensation” and “Director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Investors’ Rights, Voting and Right of First Refusal Agreements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connection with sales of convertible preferred stock prior to our initial public offering, we entered into an amended and restated investors’ rights agreement containing registration rights, including the right to demand that we file a registration statement or request that their shares be covered by a registration statement that we otherwise file, information rights and rights of first offer, among other things, with the purchasers of our convertible preferred stock, including Curative Ventures V LLC, a holder of greater than 5% of our common stock and an affiliate of Bronson Crouch, our Chief Executive Officer and Chairman, Ibisbill, LP, a holder of greater than 5% of our common stock and an affiliate of R. Kent McGaughy, Jr., a member of our Board, and Vivo Capital Fund IX, L.P., a former holder of greater than 5% of our common stock and an affiliate of Jack Nielsen, a former member of our Board. The information rights and rights of first offer terminated upon the closing of our initial public offering, and the registration rights terminated on March 19, 2026, the fifth anniversary of our initial public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Delaware law. We have also entered into indemnity agreements with our directors and certain officers.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Instil Bio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Instil Bio. Direct your written request to Instil Bio, Inc., Attention: Corporate Secretary, 3963 Maple Avenue, Suite 350, Dallas, Texas 75219 or call (972) 499-3350.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Bronson Crouch</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2025, is available without charge upon written request to: Instil Bio, Inc., Attention: Corporate Secretary, Instil Bio, Inc., 3963 Maple Avenue, Suite 350, Dallas, Texas 75219.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00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51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5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x"/>
      <w:numFmt w:val="bullet"/>
      <w:start w:val="1"/>
    </w:lvl>
  </w:abstractNum>
  <w:abstractNum w:abstractNumId="2">
    <w:nsid w:val="7FDCC233"/>
    <w:multiLevelType w:val="hybridMultilevel"/>
    <w:lvl w:ilvl="0">
      <w:lvlJc w:val="left"/>
      <w:lvlText w:val="o"/>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2026-04-24T16:25:29Z</dcterms:created>
  <dcterms:modified xsi:type="dcterms:W3CDTF">2026-04-24T16:25:29Z</dcterms:modified>
</cp:coreProperties>
</file>