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 w:after="200"/>
        <w:ind w:left="0" w:right="0" w:firstLine="990"/>
        <w:jc w:val="left"/>
        <w:rPr/>
      </w:pPr>
      <w:r>
        <w:rPr/>
      </w:r>
    </w:p>
    <w:p>
      <w:pPr>
        <w:pStyle w:val="TextBody"/>
        <w:bidi w:val="0"/>
        <w:spacing w:before="10" w:after="20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001-40215</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Instil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939"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109"/>
        <w:gridCol w:w="109"/>
        <w:gridCol w:w="109"/>
        <w:gridCol w:w="873"/>
        <w:gridCol w:w="873"/>
        <w:gridCol w:w="878"/>
        <w:gridCol w:w="109"/>
        <w:gridCol w:w="109"/>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83-2072195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3963 Maple Avenue, Suite 350</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75219</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(972) 499-3350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239" w:type="dxa"/>
        <w:jc w:val="center"/>
        <w:tblInd w:w="0" w:type="dxa"/>
        <w:tblLayout w:type="fixed"/>
        <w:tblCellMar>
          <w:top w:w="28" w:type="dxa"/>
          <w:left w:w="28" w:type="dxa"/>
          <w:bottom w:w="28" w:type="dxa"/>
          <w:right w:w="28" w:type="dxa"/>
        </w:tblCellMar>
      </w:tblPr>
      <w:tblGrid>
        <w:gridCol w:w="1418"/>
        <w:gridCol w:w="1241"/>
        <w:gridCol w:w="1256"/>
        <w:gridCol w:w="539"/>
        <w:gridCol w:w="539"/>
        <w:gridCol w:w="541"/>
        <w:gridCol w:w="1085"/>
        <w:gridCol w:w="1085"/>
        <w:gridCol w:w="1535"/>
      </w:tblGrid>
      <w:tr>
        <w:trPr/>
        <w:tc>
          <w:tcPr>
            <w:tcW w:w="141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60"/>
        <w:jc w:val="left"/>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pursuant to Rule 405 of Regulation S-T (§232.405 of this chapter) during the preceding 12 months (or for such shorter period that the registrant was required to submit files).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38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bl>
    <w:p>
      <w:pPr>
        <w:pStyle w:val="TextBody"/>
        <w:bidi w:val="0"/>
        <w:spacing w:lineRule="auto" w:line="288" w:before="0" w:after="1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165" w:type="dxa"/>
        <w:jc w:val="left"/>
        <w:tblInd w:w="0" w:type="dxa"/>
        <w:tblLayout w:type="fixed"/>
        <w:tblCellMar>
          <w:top w:w="28" w:type="dxa"/>
          <w:left w:w="28" w:type="dxa"/>
          <w:bottom w:w="28" w:type="dxa"/>
          <w:right w:w="28" w:type="dxa"/>
        </w:tblCellMar>
      </w:tblPr>
      <w:tblGrid>
        <w:gridCol w:w="1752"/>
        <w:gridCol w:w="1542"/>
        <w:gridCol w:w="1551"/>
        <w:gridCol w:w="386"/>
        <w:gridCol w:w="386"/>
        <w:gridCol w:w="548"/>
      </w:tblGrid>
      <w:tr>
        <w:trPr/>
        <w:tc>
          <w:tcPr>
            <w:tcW w:w="175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Class of Common Stock</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 xml:space="preserve">Outstanding at </w:t>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6,781,976 shares of Common Stock, $0.000001 par value per share</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August 11, 2026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775" w:type="dxa"/>
        <w:jc w:val="left"/>
        <w:tblInd w:w="0" w:type="dxa"/>
        <w:tblLayout w:type="fixed"/>
        <w:tblCellMar>
          <w:top w:w="28" w:type="dxa"/>
          <w:left w:w="28" w:type="dxa"/>
          <w:bottom w:w="28" w:type="dxa"/>
          <w:right w:w="28" w:type="dxa"/>
        </w:tblCellMar>
      </w:tblPr>
      <w:tblGrid>
        <w:gridCol w:w="2951"/>
        <w:gridCol w:w="2598"/>
        <w:gridCol w:w="2611"/>
        <w:gridCol w:w="180"/>
        <w:gridCol w:w="180"/>
        <w:gridCol w:w="255"/>
      </w:tblGrid>
      <w:tr>
        <w:trPr/>
        <w:tc>
          <w:tcPr>
            <w:tcW w:w="2951"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10">
              <w:r>
                <w:rPr>
                  <w:rStyle w:val="InternetLink"/>
                  <w:rFonts w:ascii="Times New Roman;serif" w:hAnsi="Times New Roman;serif"/>
                  <w:b w:val="false"/>
                  <w:color w:val="0000FF"/>
                  <w:sz w:val="20"/>
                  <w:u w:val="single"/>
                </w:rPr>
                <w:t>Part I. Financial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0">
              <w:r>
                <w:rPr>
                  <w:rStyle w:val="InternetLink"/>
                  <w:rFonts w:ascii="Times New Roman;serif" w:hAnsi="Times New Roman;serif"/>
                  <w:b w:val="false"/>
                  <w:color w:val="0000FF"/>
                  <w:sz w:val="20"/>
                  <w:u w:val="singl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13">
              <w:r>
                <w:rPr>
                  <w:rStyle w:val="InternetLink"/>
                  <w:rFonts w:ascii="Times New Roman;serif" w:hAnsi="Times New Roman;serif"/>
                  <w:b w:val="false"/>
                  <w:color w:val="0000FF"/>
                  <w:sz w:val="20"/>
                  <w:u w:val="single"/>
                </w:rPr>
                <w:t>Item 1. Financial Statements (Unaudited)</w:t>
              </w:r>
            </w:hyperlink>
            <w:r>
              <w:rPr>
                <w:color w:val="000000"/>
              </w:rPr>
              <w:t xml:space="preserve"> </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3">
              <w:r>
                <w:rPr>
                  <w:rStyle w:val="InternetLink"/>
                  <w:rFonts w:ascii="Times New Roman;serif" w:hAnsi="Times New Roman;serif"/>
                  <w:b w:val="false"/>
                  <w:color w:val="0000FF"/>
                  <w:sz w:val="20"/>
                  <w:u w:val="singl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16">
              <w:r>
                <w:rPr>
                  <w:rStyle w:val="InternetLink"/>
                  <w:rFonts w:ascii="Times New Roman;serif" w:hAnsi="Times New Roman;serif"/>
                  <w:b w:val="false"/>
                  <w:color w:val="0000FF"/>
                  <w:sz w:val="20"/>
                  <w:u w:val="single"/>
                </w:rPr>
                <w:t>Condensed Consolidated Balance Sheets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6">
              <w:r>
                <w:rPr>
                  <w:rStyle w:val="InternetLink"/>
                  <w:rFonts w:ascii="Times New Roman;serif" w:hAnsi="Times New Roman;serif"/>
                  <w:b w:val="false"/>
                  <w:color w:val="0000FF"/>
                  <w:sz w:val="20"/>
                  <w:u w:val="singl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19">
              <w:r>
                <w:rPr>
                  <w:rStyle w:val="InternetLink"/>
                  <w:rFonts w:ascii="Times New Roman;serif" w:hAnsi="Times New Roman;serif"/>
                  <w:b w:val="false"/>
                  <w:color w:val="0000FF"/>
                  <w:sz w:val="20"/>
                  <w:u w:val="single"/>
                </w:rPr>
                <w:t>Condensed Consolidated Statements of Operations and Comprehensive Loss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9">
              <w:r>
                <w:rPr>
                  <w:rStyle w:val="InternetLink"/>
                  <w:rFonts w:ascii="Times New Roman;serif" w:hAnsi="Times New Roman;serif"/>
                  <w:b w:val="false"/>
                  <w:color w:val="0000FF"/>
                  <w:sz w:val="20"/>
                  <w:u w:val="single"/>
                </w:rPr>
                <w:t>3</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22">
              <w:r>
                <w:rPr>
                  <w:rStyle w:val="InternetLink"/>
                  <w:rFonts w:ascii="Times New Roman;serif" w:hAnsi="Times New Roman;serif"/>
                  <w:b w:val="false"/>
                  <w:color w:val="0000FF"/>
                  <w:sz w:val="20"/>
                  <w:u w:val="single"/>
                </w:rPr>
                <w:t>Condensed Consolidated Statements of Stockholders’ Equity</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22">
              <w:r>
                <w:rPr>
                  <w:rStyle w:val="InternetLink"/>
                  <w:rFonts w:ascii="Times New Roman;serif" w:hAnsi="Times New Roman;serif"/>
                  <w:b w:val="false"/>
                  <w:color w:val="0000FF"/>
                  <w:sz w:val="20"/>
                  <w:u w:val="single"/>
                </w:rPr>
                <w:t>4</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25">
              <w:r>
                <w:rPr>
                  <w:rStyle w:val="InternetLink"/>
                  <w:rFonts w:ascii="Times New Roman;serif" w:hAnsi="Times New Roman;serif"/>
                  <w:b w:val="false"/>
                  <w:color w:val="0000FF"/>
                  <w:sz w:val="20"/>
                  <w:u w:val="single"/>
                </w:rPr>
                <w:t>Condensed Consolidated Statements of Cash Flows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25">
              <w:r>
                <w:rPr>
                  <w:rStyle w:val="InternetLink"/>
                  <w:rFonts w:ascii="Times New Roman;serif" w:hAnsi="Times New Roman;serif"/>
                  <w:b w:val="false"/>
                  <w:color w:val="0000FF"/>
                  <w:sz w:val="20"/>
                  <w:u w:val="single"/>
                </w:rPr>
                <w:t>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28">
              <w:r>
                <w:rPr>
                  <w:rStyle w:val="InternetLink"/>
                  <w:rFonts w:ascii="Times New Roman;serif" w:hAnsi="Times New Roman;serif"/>
                  <w:b w:val="false"/>
                  <w:color w:val="0000FF"/>
                  <w:sz w:val="20"/>
                  <w:u w:val="single"/>
                </w:rPr>
                <w:t>Notes to Condensed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28">
              <w:r>
                <w:rPr>
                  <w:rStyle w:val="InternetLink"/>
                  <w:rFonts w:ascii="Times New Roman;serif" w:hAnsi="Times New Roman;serif"/>
                  <w:b w:val="false"/>
                  <w:color w:val="0000FF"/>
                  <w:sz w:val="20"/>
                  <w:u w:val="single"/>
                </w:rPr>
                <w:t>7</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70">
              <w:r>
                <w:rPr>
                  <w:rStyle w:val="InternetLink"/>
                  <w:rFonts w:ascii="Times New Roman;serif" w:hAnsi="Times New Roman;serif"/>
                  <w:b w:val="false"/>
                  <w:color w:val="0000FF"/>
                  <w:sz w:val="20"/>
                  <w:u w:val="single"/>
                </w:rPr>
                <w:t>22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76">
              <w:r>
                <w:rPr>
                  <w:rStyle w:val="InternetLink"/>
                  <w:rFonts w:ascii="Times New Roman;serif" w:hAnsi="Times New Roman;serif"/>
                  <w:b w:val="false"/>
                  <w:color w:val="0000FF"/>
                  <w:sz w:val="20"/>
                  <w:u w:val="single"/>
                </w:rPr>
                <w:t>Item 3. Quantitative and Qualitative Disclosures About Market Risk</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76">
              <w:r>
                <w:rPr>
                  <w:rStyle w:val="InternetLink"/>
                  <w:rFonts w:ascii="Times New Roman;serif" w:hAnsi="Times New Roman;serif"/>
                  <w:b w:val="false"/>
                  <w:color w:val="0000FF"/>
                  <w:sz w:val="20"/>
                  <w:u w:val="single"/>
                </w:rPr>
                <w:t>33</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79">
              <w:r>
                <w:rPr>
                  <w:rStyle w:val="InternetLink"/>
                  <w:rFonts w:ascii="Times New Roman;serif" w:hAnsi="Times New Roman;serif"/>
                  <w:b w:val="false"/>
                  <w:color w:val="0000FF"/>
                  <w:sz w:val="20"/>
                  <w:u w:val="single"/>
                </w:rPr>
                <w:t>Item 4. Controls and Procedures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79">
              <w:r>
                <w:rPr>
                  <w:rStyle w:val="InternetLink"/>
                  <w:rFonts w:ascii="Times New Roman;serif" w:hAnsi="Times New Roman;serif"/>
                  <w:b w:val="false"/>
                  <w:color w:val="0000FF"/>
                  <w:sz w:val="20"/>
                  <w:u w:val="single"/>
                </w:rPr>
                <w:t>33</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82">
              <w:r>
                <w:rPr>
                  <w:rStyle w:val="InternetLink"/>
                  <w:rFonts w:ascii="Times New Roman;serif" w:hAnsi="Times New Roman;serif"/>
                  <w:b w:val="false"/>
                  <w:color w:val="0000FF"/>
                  <w:sz w:val="20"/>
                  <w:u w:val="single"/>
                </w:rPr>
                <w:t>Part II. 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82">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85">
              <w:r>
                <w:rPr>
                  <w:rStyle w:val="InternetLink"/>
                  <w:rFonts w:ascii="Times New Roman;serif" w:hAnsi="Times New Roman;serif"/>
                  <w:b w:val="false"/>
                  <w:color w:val="0000FF"/>
                  <w:sz w:val="20"/>
                  <w:u w:val="single"/>
                </w:rPr>
                <w:t>Item 1. Legal Proceedings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85">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88">
              <w:r>
                <w:rPr>
                  <w:rStyle w:val="InternetLink"/>
                  <w:rFonts w:ascii="Times New Roman;serif" w:hAnsi="Times New Roman;serif"/>
                  <w:b w:val="false"/>
                  <w:color w:val="0000FF"/>
                  <w:sz w:val="20"/>
                  <w:u w:val="single"/>
                </w:rPr>
                <w:t>Item 1A. Risk Factors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88">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91">
              <w:r>
                <w:rPr>
                  <w:rStyle w:val="InternetLink"/>
                  <w:rFonts w:ascii="Times New Roman;serif" w:hAnsi="Times New Roman;serif"/>
                  <w:b w:val="false"/>
                  <w:color w:val="0000FF"/>
                  <w:sz w:val="20"/>
                  <w:u w:val="single"/>
                </w:rPr>
                <w:t>Item 2. Unregistered Sales of Equity Securities and Use of Proceeds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91">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94">
              <w:r>
                <w:rPr>
                  <w:rStyle w:val="InternetLink"/>
                  <w:rFonts w:ascii="Times New Roman;serif" w:hAnsi="Times New Roman;serif"/>
                  <w:b w:val="false"/>
                  <w:color w:val="0000FF"/>
                  <w:sz w:val="20"/>
                  <w:u w:val="single"/>
                </w:rPr>
                <w:t>Item 3. Defaults Upon Senior Securities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94">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97">
              <w:r>
                <w:rPr>
                  <w:rStyle w:val="InternetLink"/>
                  <w:rFonts w:ascii="Times New Roman;serif" w:hAnsi="Times New Roman;serif"/>
                  <w:b w:val="false"/>
                  <w:color w:val="0000FF"/>
                  <w:sz w:val="20"/>
                  <w:u w:val="single"/>
                </w:rPr>
                <w:t>Item 4. Mine Safety Disclosures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97">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100">
              <w:r>
                <w:rPr>
                  <w:rStyle w:val="InternetLink"/>
                  <w:rFonts w:ascii="Times New Roman;serif" w:hAnsi="Times New Roman;serif"/>
                  <w:b w:val="false"/>
                  <w:color w:val="0000FF"/>
                  <w:sz w:val="20"/>
                  <w:u w:val="single"/>
                </w:rPr>
                <w:t>Item 5. 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00">
              <w:r>
                <w:rPr>
                  <w:rStyle w:val="InternetLink"/>
                  <w:rFonts w:ascii="Times New Roman;serif" w:hAnsi="Times New Roman;serif"/>
                  <w:b w:val="false"/>
                  <w:color w:val="0000FF"/>
                  <w:sz w:val="20"/>
                  <w:u w:val="single"/>
                </w:rPr>
                <w:t>35</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95257bdd2ff1439ab8f21cf08809066a_103">
              <w:r>
                <w:rPr>
                  <w:rStyle w:val="InternetLink"/>
                  <w:rFonts w:ascii="Times New Roman;serif" w:hAnsi="Times New Roman;serif"/>
                  <w:b w:val="false"/>
                  <w:color w:val="0000FF"/>
                  <w:sz w:val="20"/>
                  <w:u w:val="single"/>
                </w:rPr>
                <w:t>Item 6. Exhibits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03">
              <w:r>
                <w:rPr>
                  <w:rStyle w:val="InternetLink"/>
                  <w:rFonts w:ascii="Times New Roman;serif" w:hAnsi="Times New Roman;serif"/>
                  <w:b w:val="false"/>
                  <w:color w:val="0000FF"/>
                  <w:sz w:val="20"/>
                  <w:u w:val="single"/>
                </w:rPr>
                <w:t>36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57bdd2ff1439ab8f21cf08809066a_106">
              <w:r>
                <w:rPr>
                  <w:rStyle w:val="InternetLink"/>
                  <w:rFonts w:ascii="Times New Roman;serif" w:hAnsi="Times New Roman;serif"/>
                  <w:b w:val="false"/>
                  <w:color w:val="0000FF"/>
                  <w:sz w:val="20"/>
                  <w:u w:val="single"/>
                </w:rPr>
                <w:t>Signatures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257bdd2ff1439ab8f21cf08809066a_106">
              <w:r>
                <w:rPr>
                  <w:rStyle w:val="InternetLink"/>
                  <w:rFonts w:ascii="Times New Roman;serif" w:hAnsi="Times New Roman;serif"/>
                  <w:b w:val="false"/>
                  <w:color w:val="0000FF"/>
                  <w:sz w:val="20"/>
                  <w:u w:val="single"/>
                </w:rPr>
                <w:t>37</w:t>
              </w:r>
            </w:hyperlink>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1" w:after="24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901"/>
        <w:gridCol w:w="2261"/>
        <w:gridCol w:w="2241"/>
        <w:gridCol w:w="207"/>
        <w:gridCol w:w="781"/>
        <w:gridCol w:w="115"/>
        <w:gridCol w:w="109"/>
        <w:gridCol w:w="109"/>
        <w:gridCol w:w="109"/>
        <w:gridCol w:w="246"/>
        <w:gridCol w:w="927"/>
        <w:gridCol w:w="199"/>
      </w:tblGrid>
      <w:tr>
        <w:trPr/>
        <w:tc>
          <w:tcPr>
            <w:tcW w:w="290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191,429 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rent receivable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203,523 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89,657 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$0.000001 per share; 10,000,000 shares authorized; zero shares issued and outstanding as of June 30, 2026, and December 31, 2025</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par value $0.000001 per share; 300,000,000 shares authorized; 6,781,976 shares issued and outstanding as of June 30, 2026, and December 31, 2025</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842,958 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840,937 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(734,991)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113,866 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203,523 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40" w:after="1"/>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1" w:after="1"/>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left"/>
        <w:rPr>
          <w:color w:val="000000"/>
        </w:rPr>
      </w:pPr>
      <w:r>
        <w:rPr>
          <w:color w:val="000000"/>
        </w:rPr>
        <w:t> </w:t>
      </w:r>
    </w:p>
    <w:tbl>
      <w:tblPr>
        <w:tblW w:w="9510" w:type="dxa"/>
        <w:jc w:val="left"/>
        <w:tblInd w:w="0" w:type="dxa"/>
        <w:tblLayout w:type="fixed"/>
        <w:tblCellMar>
          <w:top w:w="28" w:type="dxa"/>
          <w:left w:w="28" w:type="dxa"/>
          <w:bottom w:w="28" w:type="dxa"/>
          <w:right w:w="28" w:type="dxa"/>
        </w:tblCellMar>
      </w:tblPr>
      <w:tblGrid>
        <w:gridCol w:w="1652"/>
        <w:gridCol w:w="1453"/>
        <w:gridCol w:w="1455"/>
        <w:gridCol w:w="196"/>
        <w:gridCol w:w="631"/>
        <w:gridCol w:w="109"/>
        <w:gridCol w:w="109"/>
        <w:gridCol w:w="109"/>
        <w:gridCol w:w="109"/>
        <w:gridCol w:w="196"/>
        <w:gridCol w:w="721"/>
        <w:gridCol w:w="109"/>
        <w:gridCol w:w="109"/>
        <w:gridCol w:w="109"/>
        <w:gridCol w:w="109"/>
        <w:gridCol w:w="196"/>
        <w:gridCol w:w="631"/>
        <w:gridCol w:w="109"/>
        <w:gridCol w:w="109"/>
        <w:gridCol w:w="109"/>
        <w:gridCol w:w="109"/>
        <w:gridCol w:w="196"/>
        <w:gridCol w:w="721"/>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In-process 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rental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contract termination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securities,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loss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6,596,975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6,564,994</w:t>
            </w:r>
          </w:p>
        </w:tc>
      </w:tr>
    </w:tbl>
    <w:p>
      <w:pPr>
        <w:pStyle w:val="TextBody"/>
        <w:bidi w:val="0"/>
        <w:spacing w:lineRule="auto" w:line="288" w:before="1" w:after="1"/>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before="0" w:after="1"/>
        <w:jc w:val="center"/>
        <w:rPr/>
      </w:pPr>
      <w:r>
        <w:rPr/>
      </w:r>
    </w:p>
    <w:p>
      <w:pPr>
        <w:pStyle w:val="TextBody"/>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amounts)</w:t>
      </w:r>
    </w:p>
    <w:p>
      <w:pPr>
        <w:pStyle w:val="TextBody"/>
        <w:bidi w:val="0"/>
        <w:spacing w:lineRule="auto" w:line="288" w:before="1" w:after="1"/>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 w:after="1"/>
        <w:jc w:val="center"/>
        <w:rPr/>
      </w:pPr>
      <w:r>
        <w:rPr/>
      </w:r>
    </w:p>
    <w:tbl>
      <w:tblPr>
        <w:tblW w:w="10205" w:type="dxa"/>
        <w:jc w:val="center"/>
        <w:tblInd w:w="0" w:type="dxa"/>
        <w:tblLayout w:type="fixed"/>
        <w:tblCellMar>
          <w:top w:w="28" w:type="dxa"/>
          <w:left w:w="28" w:type="dxa"/>
          <w:bottom w:w="28" w:type="dxa"/>
          <w:right w:w="28" w:type="dxa"/>
        </w:tblCellMar>
      </w:tblPr>
      <w:tblGrid>
        <w:gridCol w:w="692"/>
        <w:gridCol w:w="334"/>
        <w:gridCol w:w="335"/>
        <w:gridCol w:w="488"/>
        <w:gridCol w:w="488"/>
        <w:gridCol w:w="246"/>
        <w:gridCol w:w="109"/>
        <w:gridCol w:w="109"/>
        <w:gridCol w:w="109"/>
        <w:gridCol w:w="244"/>
        <w:gridCol w:w="470"/>
        <w:gridCol w:w="127"/>
        <w:gridCol w:w="109"/>
        <w:gridCol w:w="109"/>
        <w:gridCol w:w="109"/>
        <w:gridCol w:w="213"/>
        <w:gridCol w:w="835"/>
        <w:gridCol w:w="110"/>
        <w:gridCol w:w="109"/>
        <w:gridCol w:w="109"/>
        <w:gridCol w:w="109"/>
        <w:gridCol w:w="379"/>
        <w:gridCol w:w="866"/>
        <w:gridCol w:w="197"/>
        <w:gridCol w:w="109"/>
        <w:gridCol w:w="109"/>
        <w:gridCol w:w="109"/>
        <w:gridCol w:w="212"/>
        <w:gridCol w:w="900"/>
        <w:gridCol w:w="109"/>
        <w:gridCol w:w="109"/>
        <w:gridCol w:w="109"/>
        <w:gridCol w:w="109"/>
        <w:gridCol w:w="233"/>
        <w:gridCol w:w="913"/>
        <w:gridCol w:w="179"/>
      </w:tblGrid>
      <w:tr>
        <w:trPr/>
        <w:tc>
          <w:tcPr>
            <w:tcW w:w="69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6,781,976 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840,937 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113,866 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6,781,976 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6,781,976 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842,958 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(734,991)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107,380 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amounts)</w:t>
      </w:r>
    </w:p>
    <w:p>
      <w:pPr>
        <w:pStyle w:val="TextBody"/>
        <w:bidi w:val="0"/>
        <w:spacing w:lineRule="auto" w:line="288" w:before="1" w:after="1"/>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6"/>
        <w:gridCol w:w="356"/>
        <w:gridCol w:w="357"/>
        <w:gridCol w:w="488"/>
        <w:gridCol w:w="488"/>
        <w:gridCol w:w="226"/>
        <w:gridCol w:w="109"/>
        <w:gridCol w:w="109"/>
        <w:gridCol w:w="109"/>
        <w:gridCol w:w="226"/>
        <w:gridCol w:w="436"/>
        <w:gridCol w:w="119"/>
        <w:gridCol w:w="109"/>
        <w:gridCol w:w="109"/>
        <w:gridCol w:w="109"/>
        <w:gridCol w:w="213"/>
        <w:gridCol w:w="837"/>
        <w:gridCol w:w="110"/>
        <w:gridCol w:w="109"/>
        <w:gridCol w:w="109"/>
        <w:gridCol w:w="109"/>
        <w:gridCol w:w="380"/>
        <w:gridCol w:w="869"/>
        <w:gridCol w:w="198"/>
        <w:gridCol w:w="109"/>
        <w:gridCol w:w="109"/>
        <w:gridCol w:w="109"/>
        <w:gridCol w:w="212"/>
        <w:gridCol w:w="901"/>
        <w:gridCol w:w="109"/>
        <w:gridCol w:w="109"/>
        <w:gridCol w:w="109"/>
        <w:gridCol w:w="109"/>
        <w:gridCol w:w="233"/>
        <w:gridCol w:w="915"/>
        <w:gridCol w:w="181"/>
      </w:tblGrid>
      <w:tr>
        <w:trPr/>
        <w:tc>
          <w:tcPr>
            <w:tcW w:w="7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6,525,887 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6,558,927 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at-the-market offering, net of $0.3 million in issuance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6,750,716 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837,185 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131,670 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1" w:after="240"/>
        <w:jc w:val="center"/>
        <w:rPr>
          <w:rFonts w:ascii="Times New Roman;serif" w:hAnsi="Times New Roman;serif"/>
          <w:b/>
          <w:color w:val="000000"/>
          <w:sz w:val="16"/>
        </w:rPr>
      </w:pPr>
      <w:r>
        <w:rPr>
          <w:rFonts w:ascii="Times New Roman;serif" w:hAnsi="Times New Roman;serif"/>
          <w:b/>
          <w:color w:val="000000"/>
          <w:sz w:val="16"/>
        </w:rPr>
        <w:t>(Unaudited)</w:t>
      </w:r>
    </w:p>
    <w:tbl>
      <w:tblPr>
        <w:tblW w:w="9458" w:type="dxa"/>
        <w:jc w:val="center"/>
        <w:tblInd w:w="0" w:type="dxa"/>
        <w:tblLayout w:type="fixed"/>
        <w:tblCellMar>
          <w:top w:w="28" w:type="dxa"/>
          <w:left w:w="28" w:type="dxa"/>
          <w:bottom w:w="28" w:type="dxa"/>
          <w:right w:w="28" w:type="dxa"/>
        </w:tblCellMar>
      </w:tblPr>
      <w:tblGrid>
        <w:gridCol w:w="2579"/>
        <w:gridCol w:w="2269"/>
        <w:gridCol w:w="2276"/>
        <w:gridCol w:w="196"/>
        <w:gridCol w:w="631"/>
        <w:gridCol w:w="109"/>
        <w:gridCol w:w="109"/>
        <w:gridCol w:w="109"/>
        <w:gridCol w:w="109"/>
        <w:gridCol w:w="196"/>
        <w:gridCol w:w="721"/>
        <w:gridCol w:w="154"/>
      </w:tblGrid>
      <w:tr>
        <w:trPr/>
        <w:tc>
          <w:tcPr>
            <w:tcW w:w="257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remeasurement loss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property, plant and equipment and estimated cost to sell,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Restructuring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In-process 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(accretion) on invested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Loss on disposals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rent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(18,986)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Maturities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received from held for sale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at-the-market offering, net of $0.3 million in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Loan agreement closing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decrease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Supplemental disclosure of noncash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increase in operating lease ROU assets and lease liabilities resulting from lease modifications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2,213 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INSTIL 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Instil Bio, Inc. (the “Company”) is a biotechnology company focused on identifying and advancing innovative therapeutic opportunities.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announced that its wholly owned subsidiary, Axion Bio, Inc. (“Axion Bio”), was discontinuing development of AXN-2510, its former lead product candidate. See Note 14 for further information.</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actively seeking to in-license or acquire and develop additional novel therapeutic candidates in diseases with significant unmet medical need.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hanging="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and include the accounts of the Company and its wholly owned subsidiaries. All intercompany balances and transactions have been eliminated in consolidation.</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the condensed consolidated balance sheets for the six months ended June 30, 2026 and year ended December 31, 2025, the condensed consolidated statements of operations and comprehensive loss for the three and six months ended June 30, 2026 and 2025, the condensed consolidated statements of stockholders’ equity for the three and six months ended June 30, 2026 and 2025, and the results of its cash flows for the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any other periods, or any future year period. The Company has evaluated subsequent events through the date the condensed consolidated financial statements were issued.</w:t>
      </w:r>
    </w:p>
    <w:p>
      <w:pPr>
        <w:pStyle w:val="TextBody"/>
        <w:bidi w:val="0"/>
        <w:spacing w:lineRule="auto" w:line="28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the audited financial statements and the related notes thereto included in the Company’s Annual Report on Form 10-K for the year ended December 31, 2025, as filed with the Securities and Exchange Commission (“SEC”) on March 27, 2026.</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entity for which separate discrete financial information is available and that is regularly reviewed by the chief operating decision-maker, the Company’s Chief Executive Officer, in deciding how to allocate resources to an individual segment and in assessing performance. The Company has determined it operates in a single operating segment and has one operating segment. See Note 4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Cash, Cash Equivalents, Restricted Cash, and Marketable Securities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original maturities of three months or less from the purchase date to be cash equivalents. Cash equivalents include amounts invested in money market accounts.</w:t>
      </w:r>
    </w:p>
    <w:p>
      <w:pPr>
        <w:pStyle w:val="TextBody"/>
        <w:bidi w:val="0"/>
        <w:spacing w:lineRule="auto" w:line="268" w:before="0" w:after="0"/>
        <w:ind w:left="0" w:right="0" w:firstLine="45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 r</w:t>
      </w:r>
      <w:r>
        <w:rPr>
          <w:rFonts w:ascii="Times New Roman;serif" w:hAnsi="Times New Roman;serif"/>
          <w:b w:val="false"/>
          <w:color w:val="000000"/>
          <w:sz w:val="20"/>
        </w:rPr>
        <w:t xml:space="preserve">estricted cash consisted of a cash reserve allocated for future tax payments related to the 2024 Loan (as defined in Note 10) and credit card collateral.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restricted cash consisted solely of a cash reserve allocated to future tax payments related to the 2024 Loan. There was</w:t>
      </w:r>
      <w:r>
        <w:rPr>
          <w:color w:val="000000"/>
          <w:shd w:fill="FFFFFF" w:val="clear"/>
        </w:rPr>
        <w:t xml:space="preserve">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and $0.2 million of restricted cash as of June 30, 2026 and December 31, 2025, respectively, on the Company</w:t>
      </w:r>
      <w:r>
        <w:rPr>
          <w:color w:val="000000"/>
        </w:rPr>
        <w:t>’</w:t>
      </w:r>
      <w:r>
        <w:rPr>
          <w:rFonts w:ascii="Times New Roman;serif" w:hAnsi="Times New Roman;serif"/>
          <w:b w:val="false"/>
          <w:color w:val="000000"/>
          <w:sz w:val="20"/>
          <w:shd w:fill="FFFFFF" w:val="clear"/>
        </w:rPr>
        <w:t>s conden</w:t>
      </w:r>
      <w:r>
        <w:rPr>
          <w:rFonts w:ascii="Times New Roman;serif" w:hAnsi="Times New Roman;serif"/>
          <w:b w:val="false"/>
          <w:color w:val="000000"/>
          <w:sz w:val="20"/>
        </w:rPr>
        <w:t>sed consolidated balance sheets.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marketable securities have been classified and accounted for as available-for-sale. The Company classifies its maturities as either short-term or long-term based on each instrument’s underlying contractual maturity date, which are carried at their fair values based on the quoted market prices of the securities. Unrealized gains and losses are reported as accumulated other comprehensive loss. Realized gains and losses on available-for-sale securities are included in net loss in the period earned or incurred. As of June 30, 2026 and December 31, 2025, marketable securities consisted of U.S. Treasury bills.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its available-for-sale debt securities for expected credit losses on a periodic basis in accordance with Accounting Standards Codification, or ASC, Topic 326. In assessing whether a credit loss exists, the Company considers, among other factors, the credit quality and financial condition of the issuer, payment history, current and forecasted economic conditions, the extent to which fair value is less than amortized cost, and the collectability of contractual cash flows. The Company’s investment portfolio consists primarily of investment-grade debt securities. If the Company determines that a decline in fair value is attributable to credit-related factors, an allowance for credit losses is recorded through earnings for the amount of the credit loss, limited to the difference between the security’s amortized cost basis and fair value. Any portion of an unrealized loss that is not attributable to credit-related factors is recognized in other comprehensive income in the condensed consolidated statements of operations and comprehensive loss. As of June 30, 2026 and December 31, 2025, the Company determined that no allowance for credit losses was required on its investments.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that sum to the amounts shown in the condensed consolidated statements of cash flows (in thousands):</w:t>
      </w:r>
    </w:p>
    <w:tbl>
      <w:tblPr>
        <w:tblW w:w="6879" w:type="dxa"/>
        <w:jc w:val="left"/>
        <w:tblInd w:w="0" w:type="dxa"/>
        <w:tblLayout w:type="fixed"/>
        <w:tblCellMar>
          <w:top w:w="28" w:type="dxa"/>
          <w:left w:w="28" w:type="dxa"/>
          <w:bottom w:w="28" w:type="dxa"/>
          <w:right w:w="28" w:type="dxa"/>
        </w:tblCellMar>
      </w:tblPr>
      <w:tblGrid>
        <w:gridCol w:w="1271"/>
        <w:gridCol w:w="1116"/>
        <w:gridCol w:w="1122"/>
        <w:gridCol w:w="287"/>
        <w:gridCol w:w="839"/>
        <w:gridCol w:w="148"/>
        <w:gridCol w:w="109"/>
        <w:gridCol w:w="109"/>
        <w:gridCol w:w="109"/>
        <w:gridCol w:w="379"/>
        <w:gridCol w:w="1111"/>
        <w:gridCol w:w="27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going concern basis, which contemplates the realization of assets and the satisfaction of liabilities in the normal course of business. Management evaluated the Company’s ability to continue as a going concern for the twelve months following the issuance of the condensed consolidated financial statements. As disclosed and defined in Note 10, the 2024 Loan is due in January 2027, for total principal of $85.6 million, which is in excess of cash, cash equivalents, and marketable securities on hand as of June 30, 2026, which management has concluded is an indicator of substantial doubt about the Company’s ability to continue as a going concern.</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cause Complex Therapeutics LLC, a wholly owned subsidiary of the Company, to execute its contractual right to extend the maturity of the 2024 Loan to January 2028. In addition, the Company may seek to cause Complex Therapeutics LLC to refinance or restructure the 2024 Loan, sell the Tarzana facility (the Tarzana facility consists of two buildings (collectively "the building") and the underlying land), to repay the 2024 Loan, or seek additional financing in the form of equity or debt instruments. There can be no assurance that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jc w:val="left"/>
        <w:rPr>
          <w:rFonts w:ascii="Times New Roman;serif" w:hAnsi="Times New Roman;serif"/>
          <w:b w:val="false"/>
          <w:color w:val="000000"/>
          <w:sz w:val="20"/>
        </w:rPr>
      </w:pPr>
      <w:r>
        <w:rPr>
          <w:rFonts w:ascii="Times New Roman;serif" w:hAnsi="Times New Roman;serif"/>
          <w:b w:val="false"/>
          <w:color w:val="000000"/>
          <w:sz w:val="20"/>
        </w:rPr>
        <w:t>financing or other forms of funding will be available on favorable terms or at all. The Company concluded that management’s plans, including Complex Therapeutics LLC’s contractual right to exercise the extension option to January 2028, which is within Complex Therapeutics LLC’s control, alleviate the conditions that raise substantial doubt about the Company’s ability to continue as a going concern.</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and actions required to complete the plan to sell have been initiated.</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initially measures a long-lived asset or disposal group that is held for sale at the lower of its carrying value or fair value less any cost to sell. Fair value is estimated by the Company through evaluations of quoted market prices received for other comparable held for sale assets sold by the Company. Any loss resulting from this measurement is recognized in the period in which the held for sale criteria are met. Conversely, gains are not recognized on the sale of a long-lived asset or disposal group until the date of sale. The Company assesses the fair value of a long-lived asset or disposal group less any cost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the Company ceases depreciation, if any, and reports long-lived assets in the line item “assets held for sale” in its condensed consolidated balance sheets. Refer to Note 3 for further details.</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for impairment whenever events or changes in circumstances indicate that the carrying amount of an asset may not be recoverable or that the useful life is shorter than originally estimated. Recoverability is generally assessed by comparing the carrying amount of the asset to the future undiscounted net cash flows expected to be generated over its remaining useful life. If such assets are impaired, the impairment recognized is measured by the amount by which the carrying amount of the assets exceeds the fair value of the assets. If the useful life is shorter than originally estimated, the Company depreciates or amortizes the remaining carrying value over the revised shorter useful life. See Note 14 for more information.</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the milestone results are achieved.</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Accounting Standards Update (“ASU”) No. 2024-03, Income Statement-Reporting Comprehensive Income-Expense Disaggregation Disclosures (Subtopic 220-40) (“ASU 2024-03”). The amendments in this update require disclosure, in the notes to the financial statements, of specific expense categories present within expense captions presented on the face of the income statement within continuing operations of public business entities. The amendments in this update are effective for annual periods beginning after December 15, 2026 and interim periods beginning after December 15, 2027.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jc w:val="left"/>
        <w:rPr>
          <w:rFonts w:ascii="Times New Roman;serif" w:hAnsi="Times New Roman;serif"/>
          <w:b w:val="false"/>
          <w:color w:val="000000"/>
          <w:sz w:val="20"/>
        </w:rPr>
      </w:pPr>
      <w:r>
        <w:rPr>
          <w:rFonts w:ascii="Times New Roman;serif" w:hAnsi="Times New Roman;serif"/>
          <w:b w:val="false"/>
          <w:color w:val="000000"/>
          <w:sz w:val="20"/>
        </w:rPr>
        <w:t>Company is currently evaluating the impact of ASU 2024-03 on its condensed consolidated financial statements and related disclosures.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2025-07, Derivatives and Hedging and Revenue from Contracts with Customers - Derivatives Scope Refinements and Scope Clarification for Share-Based Noncash Consideration from a Customer in a Revenue Contract (“ASU 2025-07”)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annual reporting periods. Early adoption is permitted. The Company does not expect adoption of ASU 2025-07 to have a material impact on its condensed consolidated financial statements and related disclosures.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to provide recognition, measurement, presentation, and disclosure guidance for environmental credits and environmental credit obligations. Upon adoption, the Company will be required to account for environmental credits and environmental credit obligations under the new guidance. The standard is effective for annual reporting periods beginning after December 15, 2027, with early adoption permitted. The standard should be adopted on a retrospective basis. The Company is currently evaluating the impact of ASU 2026-02 on its condensed consolidated financial statements and related disclosures.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variety of proposed or otherwise potential accounting standards are currently being studied by standard-setting organizations and certain regulatory agencies. Because of the tentative and preliminary nature of such proposed standards, the Company has not yet determined the effect, if any, that the implementation of such proposed standards would have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3. Assets Held for Sale</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2025, the Company’s board of directors (the “Board of Directors”) approved a plan to sell the Tarzana facility. The Company engaged a broker to facilitate a potential sale of the Tarzana facility and reclassified the Tarzana facility as held for sale in the consolidated balance sheet during the year ended December 31, 2025. The Tarzana facility is currently leased to AstraZeneca Pharmaceuticals LP (“Tenant”) and Tenant has a right of first offer to purchase it. Refer to Note 9.</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Company determined that there had been a change to its plan with respect to the Tarzana facility. As a result, management concluded that the facility no longer met the criteria for classification as held for sale under ASC 360. Consequently, in May 2026, the Tarzana facility was reclassified as held and used and resumed depreciating the asset subject to depreciation prospectively over its remaining estimated useful life. In accordance with ASC 360, a long lived asset that ceases to be classified as held for sale is measured at the lower of (a) its carrying amount before the asset was classified as held for sale, adjusted for depreciation expenses that would have been recognized had the asset been continuously classified as held and used, and (b) its fair value. The Company determined the adjusted carrying amount of the Tarzana facility to be $111.9 million, which includes $3.6 million of depreciation expense, recorded within “restructuring and impairment charges, net”, that would have been recognized had the asset been continuously classified as held and used.</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ASC 360, the building and land of the Tarzana facility were measured individually when the assets were placed back into use. The Company estimated the fair value of the Tarzana facility, including separate estimates of the fair value of the land and building, using a combination of the income capitalization approach and the sales comparison approach. These valuations represent Level 3 fair value measurements within the fair value hierarchy established by ASC 820, as each relied on significant unobservable inputs. The estimated fair value of the building exceeded its adjusted carrying amount; therefore, the building was recorded at its adjusted carrying amount in accordance with ASC 360. The estimated fair value of the land was below its adjusted carrying amount and was therefore recorded at fair value. These fair value measurements are nonrecurring and were performed solely in connection with the reclassification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a net remeasurement loss of $0.2 million related to the reclassification of the Tarzana facility from held for sale to held and used. The land was recorded at its estimated fair value of $20.4 million at the date of reclassification, while the building was recorded at its adjusted carrying amount of $91.5 million, representing its carrying value prior to classification as held for sale adjusted for depreciation that would have been recognized had the asset remained classified as held and used. The net remeasurement loss consisted of an $8.1 million impairment loss on the Tarzana facility, comprised of a $4.5 million reduction in the carrying value of the land to fair value and a $3.6 million depreciation charge that would have been recognized had the building remained classified as held and used, partially offset by a $7.9 million remeasurement benefit resulting from the reversal of previously recognized estimated cost to sell. The net remeasurement loss was recorded in the condensed consolidated statements of operations and comprehensive loss in the line item “restructuring and impairment charges, net” for the three and six months ended June 30, 2026, under the same line in which the original impairment and estimated cost to sell charges had been recorded.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recorded charges related to the Tarzana facility of approximately $16.6 million, consisting of $8.7 million related to impairment and $7.9 million related to the estimated cost to sell. The Company did not record any charges related to the Tarzana facility for the three months ended June 30, 2025. Refer to Note 14.</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the reclassification, the Company recorded the Tarzana facility under “Property, plant and equipment, net” on the Company’s condensed consolidated balance sheet as of June 30, 2026. In addition, one month of depreciation of $0.2 million on the Tarzana facility was recorded in accumulated depreciation, resulting in a carrying value of $111.7 million on the Company’s condensed consolidated balance sheet as of June 30, 2026. The carrying value of the held for sale Tarzana facility was $112.1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4. Segment Reporting</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manages its business activities on a consolidated basis and has one reportable segment relating to the research and development of novel therapies. The Chief Executive Officer, who serves as the Company’s chief operating decision maker (“CODM”), is responsible for the overall supervision, direction, and management of the business and its officers.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reviews net loss, as reported in the condensed consolidated statements of operations and comprehensive loss, as well as the progress of the Company’s program(s). The CODM does not review assets in evaluating the results of the segment, and therefore, such information is not presented. All long-lived assets owned by the Company are located in the United States. The accounting policies of the segment are the same as those described in Note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segment and consolidated net loss, including significant segment expenses for the three and six months ended June 30, 2026 and 2025 (in thousands):</w:t>
      </w:r>
    </w:p>
    <w:tbl>
      <w:tblPr>
        <w:tblW w:w="8931" w:type="dxa"/>
        <w:jc w:val="left"/>
        <w:tblInd w:w="0" w:type="dxa"/>
        <w:tblLayout w:type="fixed"/>
        <w:tblCellMar>
          <w:top w:w="28" w:type="dxa"/>
          <w:left w:w="28" w:type="dxa"/>
          <w:bottom w:w="28" w:type="dxa"/>
          <w:right w:w="28" w:type="dxa"/>
        </w:tblCellMar>
      </w:tblPr>
      <w:tblGrid>
        <w:gridCol w:w="1289"/>
        <w:gridCol w:w="1130"/>
        <w:gridCol w:w="1136"/>
        <w:gridCol w:w="240"/>
        <w:gridCol w:w="702"/>
        <w:gridCol w:w="124"/>
        <w:gridCol w:w="124"/>
        <w:gridCol w:w="124"/>
        <w:gridCol w:w="124"/>
        <w:gridCol w:w="240"/>
        <w:gridCol w:w="821"/>
        <w:gridCol w:w="124"/>
        <w:gridCol w:w="109"/>
        <w:gridCol w:w="109"/>
        <w:gridCol w:w="109"/>
        <w:gridCol w:w="218"/>
        <w:gridCol w:w="637"/>
        <w:gridCol w:w="112"/>
        <w:gridCol w:w="112"/>
        <w:gridCol w:w="112"/>
        <w:gridCol w:w="112"/>
        <w:gridCol w:w="218"/>
        <w:gridCol w:w="746"/>
        <w:gridCol w:w="159"/>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AXN-2510</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program expenses</w:t>
            </w:r>
            <w:r>
              <w:rPr>
                <w:rFonts w:ascii="Times New Roman;serif" w:hAnsi="Times New Roman;serif"/>
                <w:b w:val="false"/>
                <w:color w:val="000000"/>
                <w:sz w:val="13"/>
              </w:rPr>
              <w:t>(1)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contract termination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w:t>
      </w:r>
    </w:p>
    <w:p>
      <w:pPr>
        <w:pStyle w:val="TextBody"/>
        <w:bidi w:val="0"/>
        <w:spacing w:lineRule="auto" w:line="288" w:before="1" w:after="1"/>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Other program expenses consist of costs related to the Company’s past development of its CoStAR-TIL technology.</w:t>
      </w:r>
    </w:p>
    <w:p>
      <w:pPr>
        <w:pStyle w:val="TextBody"/>
        <w:bidi w:val="0"/>
        <w:spacing w:lineRule="auto" w:line="288" w:before="1" w:after="1"/>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Depreciation expense is removed from “General and administrative” and is disclosed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2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Prepaid and other current assets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 consisted of the following (in thousands):</w:t>
      </w:r>
    </w:p>
    <w:tbl>
      <w:tblPr>
        <w:tblW w:w="7376" w:type="dxa"/>
        <w:jc w:val="left"/>
        <w:tblInd w:w="0" w:type="dxa"/>
        <w:tblLayout w:type="fixed"/>
        <w:tblCellMar>
          <w:top w:w="28" w:type="dxa"/>
          <w:left w:w="28" w:type="dxa"/>
          <w:bottom w:w="28" w:type="dxa"/>
          <w:right w:w="28" w:type="dxa"/>
        </w:tblCellMar>
      </w:tblPr>
      <w:tblGrid>
        <w:gridCol w:w="1452"/>
        <w:gridCol w:w="1275"/>
        <w:gridCol w:w="1278"/>
        <w:gridCol w:w="287"/>
        <w:gridCol w:w="839"/>
        <w:gridCol w:w="148"/>
        <w:gridCol w:w="109"/>
        <w:gridCol w:w="109"/>
        <w:gridCol w:w="109"/>
        <w:gridCol w:w="303"/>
        <w:gridCol w:w="888"/>
        <w:gridCol w:w="579"/>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general and administrative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Tax-related receivable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contract research organization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7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current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 (in thousands):</w:t>
      </w:r>
    </w:p>
    <w:tbl>
      <w:tblPr>
        <w:tblW w:w="6940" w:type="dxa"/>
        <w:jc w:val="left"/>
        <w:tblInd w:w="0" w:type="dxa"/>
        <w:tblLayout w:type="fixed"/>
        <w:tblCellMar>
          <w:top w:w="28" w:type="dxa"/>
          <w:left w:w="28" w:type="dxa"/>
          <w:bottom w:w="28" w:type="dxa"/>
          <w:right w:w="28" w:type="dxa"/>
        </w:tblCellMar>
      </w:tblPr>
      <w:tblGrid>
        <w:gridCol w:w="1290"/>
        <w:gridCol w:w="1131"/>
        <w:gridCol w:w="1149"/>
        <w:gridCol w:w="234"/>
        <w:gridCol w:w="919"/>
        <w:gridCol w:w="121"/>
        <w:gridCol w:w="109"/>
        <w:gridCol w:w="109"/>
        <w:gridCol w:w="109"/>
        <w:gridCol w:w="345"/>
        <w:gridCol w:w="764"/>
        <w:gridCol w:w="660"/>
      </w:tblGrid>
      <w:tr>
        <w:trPr/>
        <w:tc>
          <w:tcPr>
            <w:tcW w:w="129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computer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expense was $0.2 million and nominal for the three months ended June 30, 2026 and 2025, respectively, and $0.3 million and $0.5 million for the six months ended June 30, 2026 and 2025, respectively, in the condensed consolidated statements of operations and comprehensive loss. In March 2025, the Tarzana facility was classified as held for sale, and accordingly, depreciation ceased upon such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Company determined that the Tarzana facility no longer met the criteria for classification as held for sale and reclassified the asset as held and used. Accordingly, the carrying value of the building was adjusted to reflect the depreciation that would have been recognized had the Tarzana facility been continuously classified as held and used, as described in Note 2. Depreciation on the adjusted carrying value resumed prospectively in June 2026 and is reflected in accumulated deprecation above. See Note 2 and Note 14.</w:t>
      </w:r>
    </w:p>
    <w:p>
      <w:pPr>
        <w:pStyle w:val="TextBody"/>
        <w:bidi w:val="0"/>
        <w:spacing w:lineRule="auto" w:line="288" w:before="26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8185" w:type="dxa"/>
        <w:jc w:val="left"/>
        <w:tblInd w:w="0" w:type="dxa"/>
        <w:tblLayout w:type="fixed"/>
        <w:tblCellMar>
          <w:top w:w="28" w:type="dxa"/>
          <w:left w:w="28" w:type="dxa"/>
          <w:bottom w:w="28" w:type="dxa"/>
          <w:right w:w="28" w:type="dxa"/>
        </w:tblCellMar>
      </w:tblPr>
      <w:tblGrid>
        <w:gridCol w:w="1745"/>
        <w:gridCol w:w="1531"/>
        <w:gridCol w:w="1538"/>
        <w:gridCol w:w="287"/>
        <w:gridCol w:w="839"/>
        <w:gridCol w:w="148"/>
        <w:gridCol w:w="109"/>
        <w:gridCol w:w="109"/>
        <w:gridCol w:w="109"/>
        <w:gridCol w:w="304"/>
        <w:gridCol w:w="888"/>
        <w:gridCol w:w="578"/>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operational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development and clinical trial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7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6. Fair Value Measurement</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receivables, prepaid expenses, accounts payable and accrued expenses approximate their fair values due to the short-term nature of these instruments. Cash and cash equivalents consist primarily of cash and highly liquid investments with original maturities of three months or less at the time of purchase; accordingly, their carrying amounts approximate fair value. Cash and cash equivalents are valued based upon quoted market prices in active markets for identical assets and are therefore classified as Level 1 assets. Money market funds are open-end mutual funds that invest in cash, government securities, and/or repurchase agreements that are collateralized fully. To the extent that these funds are valued based upon the reported net asset value, they are categorized in Level 1 of the fair value hierarchy.</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 consisted of U.S. Treasury bills that are classified within Level 2 of the fair value hierarchy are valued based on other observable inputs, including broker or dealer quotations, alternative pricing sources or U.S. Government Treasury yield of appropriate term.</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by level for assets and liabilities that are measured at fair value on a recurring basis:</w:t>
      </w:r>
    </w:p>
    <w:tbl>
      <w:tblPr>
        <w:tblW w:w="6825"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721"/>
        <w:gridCol w:w="109"/>
        <w:gridCol w:w="109"/>
        <w:gridCol w:w="109"/>
        <w:gridCol w:w="109"/>
        <w:gridCol w:w="213"/>
        <w:gridCol w:w="412"/>
        <w:gridCol w:w="110"/>
        <w:gridCol w:w="109"/>
        <w:gridCol w:w="109"/>
        <w:gridCol w:w="109"/>
        <w:gridCol w:w="211"/>
        <w:gridCol w:w="721"/>
        <w:gridCol w:w="40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64,137 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69,491 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73,830 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1, 2 and 3 measurements for the six months ended June 30, 2026 and the year ended December 31, 2025. As of June 30, 2026 and December 31, 2025, there were no securities within Level 3 of the fair value hierarchy.</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fair value of the 2024 Loan (as defined in Note 10) was $85.6 million and $85.5 million, respectively. The fair value was determined on the basis of its net present value and is considered Level 2 in the fair value hierarchy.</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Company determined that the Tarzana facility no longer met the criteria for classification as held for sale and reclassified it as held and used. Accordingly, depreciation resumed prospectively based on the adjusted carrying value. Each asset was measured individually at the lower of its carrying amount before the Tarzana facility was classified as held for sale, with the depreciable assets adjusted for depreciation expense that would have been recognized had the Tarzana facility been continuously classified as held and used, or its fair value as of the date of the subsequent decision not to sell. The fair values of these assets are classified as Level 3 in the fair value hierarchy due to a mix of unobservable inputs utilized. As a result, the Company recognized a net remeasurement loss of $0.2 million during the second quarter of 2026, which is reflected in both the three and six months ended June 30, 2026 in the condensed consolidated statements of operations and comprehensive loss within the line item “restructuring and impairment charges, net.” See Note 3 and Note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Financial Instruments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Marketable securities classified as available-for-sale on June 30, 2026 and December 31, 2025 consisted of the following (in thousands):</w:t>
      </w:r>
    </w:p>
    <w:tbl>
      <w:tblPr>
        <w:tblW w:w="10205" w:type="dxa"/>
        <w:jc w:val="left"/>
        <w:tblInd w:w="0" w:type="dxa"/>
        <w:tblLayout w:type="fixed"/>
        <w:tblCellMar>
          <w:top w:w="28" w:type="dxa"/>
          <w:left w:w="28" w:type="dxa"/>
          <w:bottom w:w="28" w:type="dxa"/>
          <w:right w:w="28" w:type="dxa"/>
        </w:tblCellMar>
      </w:tblPr>
      <w:tblGrid>
        <w:gridCol w:w="578"/>
        <w:gridCol w:w="508"/>
        <w:gridCol w:w="510"/>
        <w:gridCol w:w="531"/>
        <w:gridCol w:w="531"/>
        <w:gridCol w:w="533"/>
        <w:gridCol w:w="109"/>
        <w:gridCol w:w="109"/>
        <w:gridCol w:w="109"/>
        <w:gridCol w:w="288"/>
        <w:gridCol w:w="984"/>
        <w:gridCol w:w="148"/>
        <w:gridCol w:w="109"/>
        <w:gridCol w:w="109"/>
        <w:gridCol w:w="109"/>
        <w:gridCol w:w="573"/>
        <w:gridCol w:w="696"/>
        <w:gridCol w:w="297"/>
        <w:gridCol w:w="109"/>
        <w:gridCol w:w="109"/>
        <w:gridCol w:w="109"/>
        <w:gridCol w:w="493"/>
        <w:gridCol w:w="878"/>
        <w:gridCol w:w="256"/>
        <w:gridCol w:w="109"/>
        <w:gridCol w:w="109"/>
        <w:gridCol w:w="109"/>
        <w:gridCol w:w="211"/>
        <w:gridCol w:w="721"/>
        <w:gridCol w:w="161"/>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
        <w:gridCol w:w="508"/>
        <w:gridCol w:w="510"/>
        <w:gridCol w:w="531"/>
        <w:gridCol w:w="531"/>
        <w:gridCol w:w="533"/>
        <w:gridCol w:w="109"/>
        <w:gridCol w:w="109"/>
        <w:gridCol w:w="109"/>
        <w:gridCol w:w="288"/>
        <w:gridCol w:w="984"/>
        <w:gridCol w:w="148"/>
        <w:gridCol w:w="109"/>
        <w:gridCol w:w="109"/>
        <w:gridCol w:w="109"/>
        <w:gridCol w:w="484"/>
        <w:gridCol w:w="831"/>
        <w:gridCol w:w="253"/>
        <w:gridCol w:w="109"/>
        <w:gridCol w:w="109"/>
        <w:gridCol w:w="109"/>
        <w:gridCol w:w="579"/>
        <w:gridCol w:w="747"/>
        <w:gridCol w:w="301"/>
        <w:gridCol w:w="109"/>
        <w:gridCol w:w="109"/>
        <w:gridCol w:w="109"/>
        <w:gridCol w:w="211"/>
        <w:gridCol w:w="721"/>
        <w:gridCol w:w="160"/>
      </w:tblGrid>
      <w:tr>
        <w:trPr/>
        <w:tc>
          <w:tcPr>
            <w:tcW w:w="5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marketable securities that had contractual maturities less than one year are classified as current because management considers these marketable securities to be available for current operations. The Company does not intend to sell its marketable securities and it is not likely that the Company will be required to sell these securities before recovery of their amortized cost basis. There were $64.1 million and $69.5 million of marketable securities classified as available-for-sale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8. License and Collaboration Agreement with ImmuneOnco</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 2024, Axion Bio entered into a license and collaboration agreement (the “IO Collaboration Agreement”) with ImmuneOnco Biopharmaceuticals (Shanghai) Inc. (“ImmuneOnco”), under which it in-licensed several bispecific antibodies, including AXN-2510 and AXN-27M. As part of the IO Collaboration Agreement, Axion Bio made a $10.0 million upfront payment to ImmuneOnco during the year ended December 31, 2024. This amount was fully expensed as in-process research and development (“IPR&amp;D”) in the same year.</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Axion Bio made a $5.0 million prepayment to ImmuneOnco for development costs, which was fully recognized as research and development expense by March 31, 2025. In April 2025, Axion Bio made a second $5.0 million prepayment to ImmuneOnco for development costs, which was fully recognized as research and development expense by September 30, 2025. In August 2025, Axion Bio made a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jc w:val="left"/>
        <w:rPr>
          <w:rFonts w:ascii="Times New Roman;serif" w:hAnsi="Times New Roman;serif"/>
          <w:b w:val="false"/>
          <w:color w:val="000000"/>
          <w:sz w:val="20"/>
        </w:rPr>
      </w:pPr>
      <w:r>
        <w:rPr>
          <w:rFonts w:ascii="Times New Roman;serif" w:hAnsi="Times New Roman;serif"/>
          <w:b w:val="false"/>
          <w:color w:val="000000"/>
          <w:sz w:val="20"/>
        </w:rPr>
        <w:t>$5.0 million prepayment to ImmuneOnco for development costs, which was fully recognized as research and development expense by March 31, 2026.</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Axion Bio achieved Investigational New Drug (IND) clearance in the United States for a Phase 1 trial of AXN-2510 in relapsed/refractory solid tumors. This milestone triggered a $10.0 million development payment to ImmuneOnco, which was paid in July 2025. This amount was fully expensed as IPR&amp;D during the second quarter of 2025.</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expenses recognized in connection with the IO Collaboration Agreement were nil and $14.1 million for the three months ended June 30, 2026 and 2025, respectively, and $0.3 million and $18.4 million for the six months ended June 30, 2026 and 2025, respectively. Of these amounts, $10.0 million for both the three and six months ended June 30, 2025 related to a milestone payment triggered by IND clearance and was recorded as IPR&amp;D expense, with the remainder recorded as a component of research and development expense on the condensed consolidated statements of operations and comprehensive loss.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5, 2026, Axion Bio and ImmuneOnco entered into an agreement terminating the IO Collaboration Agreement. Under the termination agreement, Axion Bio agreed to transfer the rights, title, and interest related to AXN-2510 and AXN-27M to ImmuneOnco, and ImmuneOnco agreed to pay Axion Bio $1.8 million, of which $1.6 million was received during the quarter ended March 31, 2026 and recorded as other income as a gain on contract termination in the condensed consolidated statements of operations and comprehensive loss. The remaining $0.2 million is contingent upon the completion of specified wind-down activities and had not been earned or received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450"/>
        <w:jc w:val="left"/>
        <w:rPr>
          <w:rFonts w:ascii="Times New Roman;serif" w:hAnsi="Times New Roman;serif"/>
          <w:b/>
          <w:color w:val="000000"/>
          <w:sz w:val="20"/>
        </w:rPr>
      </w:pPr>
      <w:r>
        <w:rPr>
          <w:rFonts w:ascii="Times New Roman;serif" w:hAnsi="Times New Roman;serif"/>
          <w:b/>
          <w:color w:val="000000"/>
          <w:sz w:val="20"/>
        </w:rPr>
        <w:t>Company as a Lessee: Operating Lease Obligations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currently leases office spaces and laboratory spaces located in Dallas, Texas and Alderley Park in the United Kingdom. During April 2025, the Company terminated its prior lease in Thousand Oaks, California. The Company’s leased facilities have original lease terms ranging from 2 to 5 years that in general require the Company to provide a security deposit. Certain leases provide the right for the Company to renew the lease upon the expiration of the initial lease term, and various leases have scheduled rent increases on an annual basis. The exercise of lease renewal options for the Company’s existing leases is at the Company’s sole discretion, and not included in the measurement of right-of-use asset or lease liability as they are not reasonably certain to be exercised. </w:t>
      </w:r>
    </w:p>
    <w:p>
      <w:pPr>
        <w:pStyle w:val="TextBody"/>
        <w:bidi w:val="0"/>
        <w:spacing w:lineRule="auto" w:line="288" w:before="200" w:after="1"/>
        <w:jc w:val="left"/>
        <w:rPr>
          <w:rFonts w:ascii="Times New Roman;serif" w:hAnsi="Times New Roman;serif"/>
          <w:b w:val="false"/>
          <w:color w:val="000000"/>
          <w:sz w:val="20"/>
        </w:rPr>
      </w:pPr>
      <w:r>
        <w:rPr>
          <w:rFonts w:ascii="Times New Roman;serif" w:hAnsi="Times New Roman;serif"/>
          <w:b w:val="false"/>
          <w:color w:val="000000"/>
          <w:sz w:val="20"/>
        </w:rPr>
        <w:t>The Company’s lease costs consisted of the following (in thousands):</w:t>
      </w:r>
    </w:p>
    <w:tbl>
      <w:tblPr>
        <w:tblW w:w="6165" w:type="dxa"/>
        <w:jc w:val="left"/>
        <w:tblInd w:w="0" w:type="dxa"/>
        <w:tblLayout w:type="fixed"/>
        <w:tblCellMar>
          <w:top w:w="28" w:type="dxa"/>
          <w:left w:w="28" w:type="dxa"/>
          <w:bottom w:w="28" w:type="dxa"/>
          <w:right w:w="28" w:type="dxa"/>
        </w:tblCellMar>
      </w:tblPr>
      <w:tblGrid>
        <w:gridCol w:w="635"/>
        <w:gridCol w:w="558"/>
        <w:gridCol w:w="562"/>
        <w:gridCol w:w="334"/>
        <w:gridCol w:w="210"/>
        <w:gridCol w:w="211"/>
        <w:gridCol w:w="172"/>
        <w:gridCol w:w="172"/>
        <w:gridCol w:w="172"/>
        <w:gridCol w:w="334"/>
        <w:gridCol w:w="210"/>
        <w:gridCol w:w="211"/>
        <w:gridCol w:w="109"/>
        <w:gridCol w:w="109"/>
        <w:gridCol w:w="109"/>
        <w:gridCol w:w="288"/>
        <w:gridCol w:w="228"/>
        <w:gridCol w:w="193"/>
        <w:gridCol w:w="148"/>
        <w:gridCol w:w="148"/>
        <w:gridCol w:w="148"/>
        <w:gridCol w:w="288"/>
        <w:gridCol w:w="280"/>
        <w:gridCol w:w="336"/>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628</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cash flow information related to the Company’s lease obligations (in thousands):</w:t>
      </w:r>
    </w:p>
    <w:tbl>
      <w:tblPr>
        <w:tblW w:w="7470" w:type="dxa"/>
        <w:jc w:val="left"/>
        <w:tblInd w:w="0" w:type="dxa"/>
        <w:tblLayout w:type="fixed"/>
        <w:tblCellMar>
          <w:top w:w="28" w:type="dxa"/>
          <w:left w:w="28" w:type="dxa"/>
          <w:bottom w:w="28" w:type="dxa"/>
          <w:right w:w="28" w:type="dxa"/>
        </w:tblCellMar>
      </w:tblPr>
      <w:tblGrid>
        <w:gridCol w:w="1194"/>
        <w:gridCol w:w="1051"/>
        <w:gridCol w:w="1055"/>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lease assets and liabilities (in thousands):</w:t>
      </w:r>
    </w:p>
    <w:tbl>
      <w:tblPr>
        <w:tblW w:w="6565" w:type="dxa"/>
        <w:jc w:val="left"/>
        <w:tblInd w:w="0" w:type="dxa"/>
        <w:tblLayout w:type="fixed"/>
        <w:tblCellMar>
          <w:top w:w="28" w:type="dxa"/>
          <w:left w:w="28" w:type="dxa"/>
          <w:bottom w:w="28" w:type="dxa"/>
          <w:right w:w="28" w:type="dxa"/>
        </w:tblCellMar>
      </w:tblPr>
      <w:tblGrid>
        <w:gridCol w:w="1157"/>
        <w:gridCol w:w="1016"/>
        <w:gridCol w:w="1022"/>
        <w:gridCol w:w="287"/>
        <w:gridCol w:w="839"/>
        <w:gridCol w:w="148"/>
        <w:gridCol w:w="109"/>
        <w:gridCol w:w="109"/>
        <w:gridCol w:w="109"/>
        <w:gridCol w:w="448"/>
        <w:gridCol w:w="992"/>
        <w:gridCol w:w="329"/>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other supplemental information related to the Company’s lease obligations:</w:t>
      </w:r>
    </w:p>
    <w:tbl>
      <w:tblPr>
        <w:tblW w:w="7495" w:type="dxa"/>
        <w:jc w:val="left"/>
        <w:tblInd w:w="0" w:type="dxa"/>
        <w:tblLayout w:type="fixed"/>
        <w:tblCellMar>
          <w:top w:w="28" w:type="dxa"/>
          <w:left w:w="28" w:type="dxa"/>
          <w:bottom w:w="28" w:type="dxa"/>
          <w:right w:w="28" w:type="dxa"/>
        </w:tblCellMar>
      </w:tblPr>
      <w:tblGrid>
        <w:gridCol w:w="1495"/>
        <w:gridCol w:w="1312"/>
        <w:gridCol w:w="1317"/>
        <w:gridCol w:w="283"/>
        <w:gridCol w:w="283"/>
        <w:gridCol w:w="709"/>
        <w:gridCol w:w="109"/>
        <w:gridCol w:w="109"/>
        <w:gridCol w:w="109"/>
        <w:gridCol w:w="360"/>
        <w:gridCol w:w="360"/>
        <w:gridCol w:w="104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Alderley Park leases in the United Kingdom are set to expire in November 2026. On April 2nd, 2026 the Company extended its lease in Dallas to April 2031.</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 liabilities were (in thousands):</w:t>
      </w:r>
    </w:p>
    <w:tbl>
      <w:tblPr>
        <w:tblW w:w="5474" w:type="dxa"/>
        <w:jc w:val="left"/>
        <w:tblInd w:w="0" w:type="dxa"/>
        <w:tblLayout w:type="fixed"/>
        <w:tblCellMar>
          <w:top w:w="28" w:type="dxa"/>
          <w:left w:w="28" w:type="dxa"/>
          <w:bottom w:w="28" w:type="dxa"/>
          <w:right w:w="28" w:type="dxa"/>
        </w:tblCellMar>
      </w:tblPr>
      <w:tblGrid>
        <w:gridCol w:w="1504"/>
        <w:gridCol w:w="1321"/>
        <w:gridCol w:w="1330"/>
        <w:gridCol w:w="226"/>
        <w:gridCol w:w="662"/>
        <w:gridCol w:w="431"/>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 balance</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current portion of operating lease liabilities </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non-current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 are recorded in the line item “accrued expenses and other current liabilities” in the condensed consolidated balance sheets.</w:t>
      </w:r>
    </w:p>
    <w:p>
      <w:pPr>
        <w:pStyle w:val="TextBody"/>
        <w:bidi w:val="0"/>
        <w:spacing w:lineRule="auto" w:line="288" w:before="200" w:after="283"/>
        <w:ind w:left="0" w:right="0" w:firstLine="450"/>
        <w:jc w:val="left"/>
        <w:rPr>
          <w:rFonts w:ascii="Times New Roman;serif" w:hAnsi="Times New Roman;serif"/>
          <w:b/>
          <w:color w:val="000000"/>
          <w:sz w:val="20"/>
        </w:rPr>
      </w:pPr>
      <w:r>
        <w:rPr>
          <w:rFonts w:ascii="Times New Roman;serif" w:hAnsi="Times New Roman;serif"/>
          <w:b/>
          <w:color w:val="000000"/>
          <w:sz w:val="20"/>
        </w:rPr>
        <w:t>Company as a Lessor: Tarzana Facility Lease with AstraZeneca</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10, 2024, Complex Therapeutics LLC, a wholly owned subsidiary of the Company, entered into a lease with AstraZeneca Pharmaceuticals LP pursuant to which Tenant is leasing the facility located in Tarzana, California (the “Lease”). The Lease has an initial term of approximately 15 years, beginning on July 10, 2024 and ending on July 31, 2039, with Tenant having two consecutive options to extend the term for a five-year period each and a one-time option to terminate the Lease on the tenth anniversary of the commencement of the Lease, which, if exercised, obligates Tenant to pay Complex Therapeutics LLC a termination fee. The initial base rent was approximately $0.6 million per month (approximately $7.5 million annually) and the base rent escalates by 3% per annum. Tenant is also required to pay certain operating expenses and tax expenses as additional rent. There was rent abatement during the first year of the Lease such that Tenant paid no rent or reduced rent during this period. Tenant also has a right of first offer to purchase the premises that are subject to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Lease is classified as an operating lease and revenue is recognized on a straight-line basis and is recorded within the condensed consolidated statements of operations and comprehensive loss in the line item “Other rental income” as this is not a part of the Company’s core operations. Rental income related to the Lease was as follows (in thousands):</w:t>
      </w:r>
    </w:p>
    <w:tbl>
      <w:tblPr>
        <w:tblW w:w="8444" w:type="dxa"/>
        <w:jc w:val="left"/>
        <w:tblInd w:w="0" w:type="dxa"/>
        <w:tblLayout w:type="fixed"/>
        <w:tblCellMar>
          <w:top w:w="28" w:type="dxa"/>
          <w:left w:w="28" w:type="dxa"/>
          <w:bottom w:w="28" w:type="dxa"/>
          <w:right w:w="28" w:type="dxa"/>
        </w:tblCellMar>
      </w:tblPr>
      <w:tblGrid>
        <w:gridCol w:w="1330"/>
        <w:gridCol w:w="1167"/>
        <w:gridCol w:w="117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 related to fixed lease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pPr>
      <w:r>
        <w:rPr>
          <w:rFonts w:ascii="Times New Roman;serif" w:hAnsi="Times New Roman;serif"/>
          <w:b w:val="false"/>
          <w:color w:val="000000"/>
          <w:sz w:val="20"/>
        </w:rPr>
        <w:t>Approximate future straight-lined contractual lease income to be recognized under the Lease in effect as of</w:t>
      </w:r>
      <w:r>
        <w:rPr>
          <w:color w:val="000000"/>
        </w:rPr>
        <w:t xml:space="preserve"> </w:t>
      </w:r>
      <w:r>
        <w:rPr>
          <w:rFonts w:ascii="Times New Roman;serif" w:hAnsi="Times New Roman;serif"/>
          <w:b w:val="false"/>
          <w:color w:val="000000"/>
          <w:sz w:val="20"/>
        </w:rPr>
        <w:t>June 30, 2026, is as follow</w:t>
      </w:r>
      <w:r>
        <w:rPr>
          <w:rFonts w:ascii="Times New Roman;serif" w:hAnsi="Times New Roman;serif"/>
          <w:b w:val="false"/>
          <w:color w:val="000000"/>
          <w:sz w:val="20"/>
          <w:shd w:fill="FFFFFF" w:val="clear"/>
        </w:rPr>
        <w:t>s (in thousands):</w:t>
      </w:r>
    </w:p>
    <w:tbl>
      <w:tblPr>
        <w:tblW w:w="3779" w:type="dxa"/>
        <w:jc w:val="left"/>
        <w:tblInd w:w="0" w:type="dxa"/>
        <w:tblLayout w:type="fixed"/>
        <w:tblCellMar>
          <w:top w:w="28" w:type="dxa"/>
          <w:left w:w="28" w:type="dxa"/>
          <w:bottom w:w="28" w:type="dxa"/>
          <w:right w:w="28" w:type="dxa"/>
        </w:tblCellMar>
      </w:tblPr>
      <w:tblGrid>
        <w:gridCol w:w="890"/>
        <w:gridCol w:w="782"/>
        <w:gridCol w:w="787"/>
        <w:gridCol w:w="234"/>
        <w:gridCol w:w="916"/>
        <w:gridCol w:w="17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117,330 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Differences between rental income earned and amounts due per the Lease are capitalized or charged, as applicable, to accrued rent receivable. As of June 30, 2026 and December 31, 2025, the Company had accrued rent receivable of $8.3 million and $7.7 million, respectively.</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 Company does not expect that the resolution of these matters will have a material adverse effect on its financial position, results of operations or cash flows.</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No liability associated with such indemnifications was recorded as of June 30, 2026 and December 31, 2025.</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various purchase agreements and commitments with third-party vendors for clinical research services, products and other services for operating purposes. These agreements generally provide for termination or cancellation at the Company’s option, other than for costs already incurred.</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$0.2 million in commitments for contract terminations as part of the Plan (see Note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40" w:after="1"/>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Debt</w:t>
      </w:r>
    </w:p>
    <w:p>
      <w:pPr>
        <w:pStyle w:val="TextBody"/>
        <w:bidi w:val="0"/>
        <w:spacing w:before="1" w:after="1"/>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2022, the Company’s wholly owned subsidiaries Complex Therapeutics Mezzanine LLC and Complex Therapeutics LLC entered into a mortgage construction loan and mezzanine construction loan (together, the “Construction Loans”) secured by Complex Therapeutic LLC’s Tarzana, California land and building. The initial principal amount of the Construction Loans was $52.1 million, with additional future principal of up to $32.9 million to fund ongoing construction costs.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20, 2024 (the “Closing Date”), Complex Therapeutics LLC entered into a Term Loan Agreement (the “2024 Loan”) and related loan documents with Midland National Life Insurance Company (“Lender”), pursuant to which Lender loaned Complex Therapeutics LLC a term loan in the principal amount of $85.6 million to refinance the Construction Loans. Substantially all of the 2024 Loan proceeds were used to repay in full the Construction Loans. As of both June 30, 2026 and December 31, 2025, the outstanding principal amount under the 2024 Loan was $85.6 million. Unamortized debt issuance costs were $0.4 million and $0.8 million as of June 30, 2026 and December 31, 2025, respectively.</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2024 Loan has a term of two years with a one-year extension option. The extension option is subject to certain conditions being met, including: (a) no potential default or event of default, (b) payment of a 0.35% extension fee and the costs and expenses of Lender incurred in connection with the extension, (c) replenishing of all reserve funds as reasonably determined by Lender, and (d) compliance with minimum debt yield and debt service coverage ratio requirements. The 2024 Loan bears interest at a fixed rate of 6.35% per annum, with interest-only payments during the term and the principal balance due in full at maturity.</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2024 Loan may be prepaid in whole but not in part. If the 2024 Loan is prepaid on or prior to the 12-month anniversary of the Closing Date, a prepayment fee is required (other than in connection with a casualty or condemnation event) to make Lender whole for the interest it would have otherwise earned on the 2024 Loan during the first 12 months. There is no prepayment fee due if the 2024 Loan is prepaid after the 12-month anniversary of the Closing Date.</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net carrying amount of the liability component of the 2024 Loan was as follows (in thousands):</w:t>
      </w:r>
    </w:p>
    <w:tbl>
      <w:tblPr>
        <w:tblW w:w="6054" w:type="dxa"/>
        <w:jc w:val="left"/>
        <w:tblInd w:w="0" w:type="dxa"/>
        <w:tblLayout w:type="fixed"/>
        <w:tblCellMar>
          <w:top w:w="28" w:type="dxa"/>
          <w:left w:w="28" w:type="dxa"/>
          <w:bottom w:w="28" w:type="dxa"/>
          <w:right w:w="28" w:type="dxa"/>
        </w:tblCellMar>
      </w:tblPr>
      <w:tblGrid>
        <w:gridCol w:w="973"/>
        <w:gridCol w:w="852"/>
        <w:gridCol w:w="859"/>
        <w:gridCol w:w="258"/>
        <w:gridCol w:w="883"/>
        <w:gridCol w:w="133"/>
        <w:gridCol w:w="109"/>
        <w:gridCol w:w="109"/>
        <w:gridCol w:w="109"/>
        <w:gridCol w:w="280"/>
        <w:gridCol w:w="957"/>
        <w:gridCol w:w="532"/>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85,600 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84,806 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recognized related to the Loan (in thousands):</w:t>
      </w:r>
    </w:p>
    <w:tbl>
      <w:tblPr>
        <w:tblW w:w="8962" w:type="dxa"/>
        <w:jc w:val="left"/>
        <w:tblInd w:w="0" w:type="dxa"/>
        <w:tblLayout w:type="fixed"/>
        <w:tblCellMar>
          <w:top w:w="28" w:type="dxa"/>
          <w:left w:w="28" w:type="dxa"/>
          <w:bottom w:w="28" w:type="dxa"/>
          <w:right w:w="28" w:type="dxa"/>
        </w:tblCellMar>
      </w:tblPr>
      <w:tblGrid>
        <w:gridCol w:w="1427"/>
        <w:gridCol w:w="1255"/>
        <w:gridCol w:w="126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401"/>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related to the 2024 Loan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11. Equity</w:t>
      </w:r>
    </w:p>
    <w:p>
      <w:pPr>
        <w:pStyle w:val="TextBody"/>
        <w:bidi w:val="0"/>
        <w:spacing w:lineRule="auto" w:line="288" w:before="200" w:after="1"/>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Stock</w:t>
      </w:r>
    </w:p>
    <w:p>
      <w:pPr>
        <w:pStyle w:val="TextBody"/>
        <w:bidi w:val="0"/>
        <w:spacing w:lineRule="auto" w:line="288" w:before="200" w:after="1"/>
        <w:ind w:left="0" w:right="0" w:firstLine="450"/>
        <w:jc w:val="left"/>
        <w:rPr/>
      </w:pPr>
      <w:r>
        <w:rPr>
          <w:rFonts w:ascii="Times New Roman;serif" w:hAnsi="Times New Roman;serif"/>
          <w:b w:val="false"/>
          <w:color w:val="000000"/>
          <w:sz w:val="20"/>
          <w:shd w:fill="FFFFFF" w:val="clear"/>
        </w:rPr>
        <w:t>Each share of common stock has the right to one vote. The holders of common stock are also entitled to receive dividends out of legally available funds when and if declared by the Company</w:t>
      </w:r>
      <w:r>
        <w:rPr>
          <w:color w:val="000000"/>
        </w:rPr>
        <w:t>’</w:t>
      </w:r>
      <w:r>
        <w:rPr>
          <w:rFonts w:ascii="Times New Roman;serif" w:hAnsi="Times New Roman;serif"/>
          <w:b w:val="false"/>
          <w:color w:val="000000"/>
          <w:sz w:val="20"/>
          <w:shd w:fill="FFFFFF" w:val="clear"/>
        </w:rPr>
        <w:t>s Board of Directors, subject to the rights of holders of any classes of stock outstanding having priority rights as to dividends. No cash dividends have been declared by the Board of Directors from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the Company had 6,781,976 shares of common stock outstanding.</w:t>
      </w:r>
    </w:p>
    <w:p>
      <w:pPr>
        <w:pStyle w:val="TextBody"/>
        <w:bidi w:val="0"/>
        <w:spacing w:lineRule="auto" w:line="288" w:before="200" w:after="200"/>
        <w:ind w:left="0" w:right="0" w:firstLine="450"/>
        <w:jc w:val="left"/>
        <w:rPr>
          <w:rFonts w:ascii="Times New Roman;serif" w:hAnsi="Times New Roman;serif"/>
          <w:b/>
          <w:i/>
          <w:color w:val="000000"/>
          <w:sz w:val="20"/>
        </w:rPr>
      </w:pPr>
      <w:r>
        <w:rPr>
          <w:rFonts w:ascii="Times New Roman;serif" w:hAnsi="Times New Roman;serif"/>
          <w:b/>
          <w:i/>
          <w:color w:val="000000"/>
          <w:sz w:val="20"/>
        </w:rPr>
        <w:t>At-the-Market Offering (ATM Program)</w:t>
      </w:r>
    </w:p>
    <w:p>
      <w:pPr>
        <w:pStyle w:val="TextBody"/>
        <w:bidi w:val="0"/>
        <w:spacing w:lineRule="auto" w:line="288" w:before="0" w:after="200"/>
        <w:ind w:left="0" w:right="0" w:firstLine="450"/>
        <w:jc w:val="left"/>
        <w:rPr/>
      </w:pPr>
      <w:r>
        <w:rPr>
          <w:rFonts w:ascii="Times New Roman;serif" w:hAnsi="Times New Roman;serif"/>
          <w:b w:val="false"/>
          <w:color w:val="000000"/>
          <w:sz w:val="20"/>
        </w:rPr>
        <w:t>In March 2025, the Company entered into an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with Jefferies LLC (“Jefferies”) pursuant to which the Company may, subject to the terms and conditions set forth in the agreement, offer and sell, from time to time, through or to Jefferies, acting as agent or principal, shares of common stock having an aggregate offering price of up to $100.0 million in one or more “at the market offerings” (the “ATM Program”).</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sold 185,837 shares of common stock under the ATM Program at a weighted-average price of $37.13 per share, for net proceeds of $6.6 million, after deducting commissions and expenses of approximately $0.3 million. The remaining availability under the ATM Program as of both December 31, 2025 and June 30, 2026 is approximately $93.1 million. There were no sales under the ATM Program during the six months ended June 30, 2026.</w:t>
      </w:r>
    </w:p>
    <w:p>
      <w:pPr>
        <w:pStyle w:val="TextBody"/>
        <w:bidi w:val="0"/>
        <w:spacing w:lineRule="auto" w:line="288" w:before="200" w:after="1"/>
        <w:ind w:left="0" w:right="0" w:firstLine="450"/>
        <w:jc w:val="left"/>
        <w:rPr/>
      </w:pPr>
      <w:r>
        <w:rPr>
          <w:rFonts w:ascii="Times New Roman;serif" w:hAnsi="Times New Roman;serif"/>
          <w:b/>
          <w:i/>
          <w:color w:val="000000"/>
          <w:sz w:val="20"/>
        </w:rPr>
        <w:t>Preferred</w:t>
      </w:r>
      <w:r>
        <w:rPr>
          <w:color w:val="000000"/>
        </w:rPr>
        <w:t xml:space="preserve"> </w:t>
      </w:r>
      <w:r>
        <w:rPr>
          <w:rFonts w:ascii="Times New Roman;serif" w:hAnsi="Times New Roman;serif"/>
          <w:b/>
          <w:i/>
          <w:color w:val="000000"/>
          <w:sz w:val="20"/>
          <w:shd w:fill="FFFFFF" w:val="clear"/>
        </w:rPr>
        <w:t>Stock</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current amended and restated certificate of incorporation authorizes the Company to issue up to 10,000,000 shares of preferred stock at $0.000001 par value per share. The Board of Directors is authorized to provide for the issuance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subsequent resolution or resolutions adopted by the board providing for the issuance of such shares. As of June 30, 2026 and December 31, 2025, there were no shares of preferred stock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2021, the Company adopted the 2021 Equity Incentive Plan (the “2021 Plan”), which became effective in connection with the Company’s initial public offering (“IPO”). The 2021 Plan was approved by the Board of Directors and stockholders in March 2021. The 2021 Plan is an equity incentive plan pursuant to which the Company may grant the following awards: (i) incentive stock options; (ii) nonstatutory stock options; (iii) stock appreciation rights; (iv) restricted stock awards; (v) restricted stock unit awards; (vi) performance awards; and (vii) other forms of stock awards to employees, directors, and consultants, including employees and consultants of the Company’s affiliates. The 2021 Plan is a successor to the Company’s 2018 Stock Incentive Plan (the “2018 Plan”). Following the effectiveness of the 2021 Plan, no further grants may be made under the 2018 Plan; however, any outstanding equity awards granted under the 2018 Plan will continue to be governed by the terms of the 2018 Plan.</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926,486 shares of common stock remained available for issuance under the 2021 Plan. During the three and six months ended June 30, 2026, options to purchase 1,250 and 132,033 shares of common stock were forfeited and expired under the 2021 Plan, respectively.</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stock-based compensation included in the Company’s condensed consolidated statements of operations and comprehensive loss (in thousands):</w:t>
      </w:r>
    </w:p>
    <w:tbl>
      <w:tblPr>
        <w:tblW w:w="8219" w:type="dxa"/>
        <w:jc w:val="left"/>
        <w:tblInd w:w="0" w:type="dxa"/>
        <w:tblLayout w:type="fixed"/>
        <w:tblCellMar>
          <w:top w:w="28" w:type="dxa"/>
          <w:left w:w="28" w:type="dxa"/>
          <w:bottom w:w="28" w:type="dxa"/>
          <w:right w:w="28" w:type="dxa"/>
        </w:tblCellMar>
      </w:tblPr>
      <w:tblGrid>
        <w:gridCol w:w="1250"/>
        <w:gridCol w:w="1097"/>
        <w:gridCol w:w="110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$8.3 million of total unrecognized compensation cost related to unvested stock options granted under the 2021 Plan, which is expected to be recognized over a weighted average period of 2.1 years.</w:t>
      </w:r>
    </w:p>
    <w:p>
      <w:pPr>
        <w:pStyle w:val="TextBody"/>
        <w:bidi w:val="0"/>
        <w:spacing w:lineRule="auto" w:line="288" w:before="200" w:after="200"/>
        <w:ind w:left="0" w:right="0" w:firstLine="45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2021, the Company adopted the Employee Stock Purchase Plan (the “ESPP”), which became effective in connection with the IPO. The ESPP was adopted by the Board of Directors and stockholders in March 2021, but the Company has not yet commenced offerings to employees under the ESPP. As of June 30, 2026, the Company had 192,148 shares of its common stock available for future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shares have been excluded from the calculation of diluted net loss per share for the periods presented due to their anti-dilutive effect:</w:t>
      </w:r>
    </w:p>
    <w:tbl>
      <w:tblPr>
        <w:tblW w:w="5683" w:type="dxa"/>
        <w:jc w:val="left"/>
        <w:tblInd w:w="0" w:type="dxa"/>
        <w:tblLayout w:type="fixed"/>
        <w:tblCellMar>
          <w:top w:w="28" w:type="dxa"/>
          <w:left w:w="28" w:type="dxa"/>
          <w:bottom w:w="28" w:type="dxa"/>
          <w:right w:w="28" w:type="dxa"/>
        </w:tblCellMar>
      </w:tblPr>
      <w:tblGrid>
        <w:gridCol w:w="1247"/>
        <w:gridCol w:w="1099"/>
        <w:gridCol w:w="1103"/>
        <w:gridCol w:w="309"/>
        <w:gridCol w:w="309"/>
        <w:gridCol w:w="313"/>
        <w:gridCol w:w="109"/>
        <w:gridCol w:w="109"/>
        <w:gridCol w:w="109"/>
        <w:gridCol w:w="285"/>
        <w:gridCol w:w="285"/>
        <w:gridCol w:w="406"/>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1,592,634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14. Restructuring and Impairment of Long-Lived Assets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2023, the Board of Directors approved a restructuring plan and the Company announced the consolidation of the ITIL-306 Phase 1 clinical trial, which included contract terminations.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2024, the Board of Directors approved a comprehensive restructuring plan, which included the closure of the Company’s UK manufacturing facility and clinical trial operations. In September 2024, the Board of Directors approved additional UK restructuring actions, which resulted in the elimination of the majority of the remaining UK workforce in the fall of 2024, with the remaining reduction and restructuring activities substantially completed by the end of 2024.</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Collectively, the restructuring events from 2023 and 2024 are referred to as the “Plan.” Certain contractual obligations associated with the Plan were settled in 2025, resulting in related cost adjustments.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2025, the Board of Directors approved a plan to sell the Tarzana facility, and the Company listed the Tarzana facility for sale and reclassified it as a long-lived asset held for sale and incurred impairment charges on the facility and as well as charges related to the anticipated cost to sell the facility (collectively, the “2025 Tarzana Charges”).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Axion Bio discontinued development of AXN-2510, and the Company terminated certain employees associated with this program (the “2026 Employee Terminations”).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Company determined that the Tarzana facility no longer met the criteria for classification as held for sale and reclassified the asset as held and used. In connection with the reclassification, the Company recognized an impairment charge to reduce the carrying value of the Tarzana facility to the lower of its adjusted carrying amount and fair value (the “2026 Tarzana Charges”).</w:t>
      </w:r>
    </w:p>
    <w:p>
      <w:pPr>
        <w:pStyle w:val="TextBody"/>
        <w:bidi w:val="0"/>
        <w:spacing w:lineRule="auto" w:line="288" w:before="200" w:after="1"/>
        <w:jc w:val="left"/>
        <w:rPr>
          <w:rFonts w:ascii="Times New Roman;serif" w:hAnsi="Times New Roman;serif"/>
          <w:b/>
          <w:i/>
          <w:color w:val="000000"/>
          <w:sz w:val="20"/>
        </w:rPr>
      </w:pPr>
      <w:r>
        <w:rPr>
          <w:rFonts w:ascii="Times New Roman;serif" w:hAnsi="Times New Roman;serif"/>
          <w:b/>
          <w:i/>
          <w:color w:val="000000"/>
          <w:sz w:val="20"/>
        </w:rPr>
        <w:t>Restructuring and Impairment Charges, Net</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2026 Employee Terminations, 2026 Tarzana Charges and 2025 Tarzana Charges are presented within the line item “restructuring and impairment charges, net” in the condensed consolidated statements of operations and comprehensive loss, resulting in a loss of $0.2 million and $1.2 million for the three and six months ended June 30, 2026, respectively, and a loss of $0.5 million and $16.6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and impairment loss by category (in thousands):</w:t>
      </w:r>
    </w:p>
    <w:tbl>
      <w:tblPr>
        <w:tblW w:w="10205" w:type="dxa"/>
        <w:jc w:val="left"/>
        <w:tblInd w:w="0" w:type="dxa"/>
        <w:tblLayout w:type="fixed"/>
        <w:tblCellMar>
          <w:top w:w="28" w:type="dxa"/>
          <w:left w:w="28" w:type="dxa"/>
          <w:bottom w:w="28" w:type="dxa"/>
          <w:right w:w="28" w:type="dxa"/>
        </w:tblCellMar>
      </w:tblPr>
      <w:tblGrid>
        <w:gridCol w:w="1951"/>
        <w:gridCol w:w="1710"/>
        <w:gridCol w:w="1720"/>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721"/>
        <w:gridCol w:w="403"/>
      </w:tblGrid>
      <w:tr>
        <w:trPr/>
        <w:tc>
          <w:tcPr>
            <w:tcW w:w="195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employee termination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held for sale and held and used,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jc w:val="left"/>
        <w:rPr>
          <w:rFonts w:ascii="Times New Roman;serif" w:hAnsi="Times New Roman;serif"/>
          <w:b/>
          <w:i/>
          <w:color w:val="000000"/>
          <w:sz w:val="20"/>
        </w:rPr>
      </w:pPr>
      <w:r>
        <w:rPr>
          <w:rFonts w:ascii="Times New Roman;serif" w:hAnsi="Times New Roman;serif"/>
          <w:b/>
          <w:i/>
          <w:color w:val="000000"/>
          <w:sz w:val="20"/>
        </w:rPr>
        <w:t>Restructuring Liability</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the Plan and the 2026 Employee Terminations, a restructuring liability was recorded in the condensed consolidated balance sheets under “Accrued expenses and other current liabilities” and was measured at the amount expected to be paid, or that was paid. During the three and six months ended June 30, 2026, the Company paid nil and $1.0 million of employee benefits, respectively, and expects to pay the remainder of the restructuring costs by the end of 2026.</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restructuring liability related to the Plan and the 2026 Employee Terminations (in thousands):</w:t>
      </w:r>
    </w:p>
    <w:tbl>
      <w:tblPr>
        <w:tblW w:w="9521" w:type="dxa"/>
        <w:jc w:val="left"/>
        <w:tblInd w:w="0" w:type="dxa"/>
        <w:tblLayout w:type="fixed"/>
        <w:tblCellMar>
          <w:top w:w="28" w:type="dxa"/>
          <w:left w:w="28" w:type="dxa"/>
          <w:bottom w:w="28" w:type="dxa"/>
          <w:right w:w="28" w:type="dxa"/>
        </w:tblCellMar>
      </w:tblPr>
      <w:tblGrid>
        <w:gridCol w:w="1440"/>
        <w:gridCol w:w="1266"/>
        <w:gridCol w:w="1269"/>
        <w:gridCol w:w="109"/>
        <w:gridCol w:w="109"/>
        <w:gridCol w:w="109"/>
        <w:gridCol w:w="488"/>
        <w:gridCol w:w="939"/>
        <w:gridCol w:w="253"/>
        <w:gridCol w:w="109"/>
        <w:gridCol w:w="109"/>
        <w:gridCol w:w="109"/>
        <w:gridCol w:w="551"/>
        <w:gridCol w:w="1217"/>
        <w:gridCol w:w="286"/>
        <w:gridCol w:w="109"/>
        <w:gridCol w:w="109"/>
        <w:gridCol w:w="109"/>
        <w:gridCol w:w="211"/>
        <w:gridCol w:w="46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liability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Restructuring liability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40" w:after="200"/>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lineRule="auto" w:line="276"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or the SEC, on March 27, 2026. Unless the context requires otherwise, references in this Quarterly Report on Form 10-Q to “we,” “us” and “our” refer to Instil Bio, Inc. and our consolidated subsidiaries.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expectations regarding collaborations and clinical trials,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biotechnology company focused on identifying and advancing innovative therapeutic opportunities.</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we announced that our wholly owned subsidiary, Axion Bio, Inc., or Axion Bio, was discontinuing development of AXN-2510, our former lead product candidate. We are actively seeking to in-license or acquire and develop additional novel therapeutic candidates in diseases with significant unmet medical need.</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$4.3 million for the three months ended June 30, 2026 and $8.5 million for the six months ended June 30, 2026. As of June 30, 2026, we had an accumulated deficit of $735.0 million. As of June 30, 2026, we had cash, cash equivalents, restricted cash, and marketable securities of $69.9 million, which consists of $5.5 million in cash and cash equivalents, $0.3 million in restricted cash, and $64.1 million in marketable securities. We expect to continue to incur net losses for the foreseeable future.</w:t>
      </w: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Components of Operating Results</w:t>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In-Process Research and Development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or IPR&amp;D, expenses include IPR&amp;D acquired as part of in-license payments made to ImmuneOnco for which there is no alternative future use, and are expensed as incurred.</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research and development, manufacturing, monitoring and other services payments and, to a lesser extent, salaries, benefits and other personnel-related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including stock-based compensation, professional service fees, and facility and other related costs. In addition, research and development expense is presented net of reimbursements from reimbursable tax and expenditure credits and grants from the UK government.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our future research and development expenses to change in line with our potential business development activities and any nonclinical and clinical development activities. Our expenditures on any future nonclinical and clinical development programs are subject to numerous uncertainties in timing and cost to completion. The duration, costs and timing of clinical trials and development of product candidates will depend on a variety of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rate of progress and expenses of clinical trials and other research and development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safety monitoring and other studies requested by regulatory agencies;</w:t>
      </w:r>
    </w:p>
    <w:p>
      <w:pPr>
        <w:pStyle w:val="TextBody"/>
        <w:bidi w:val="0"/>
        <w:spacing w:lineRule="auto" w:line="288" w:before="10" w:after="10"/>
        <w:ind w:left="0" w:right="0" w:hanging="360"/>
        <w:jc w:val="left"/>
        <w:rPr/>
      </w:pPr>
      <w:r>
        <w:rPr>
          <w:color w:val="000000"/>
        </w:rPr>
        <w:t>•</w:t>
      </w:r>
      <w:r>
        <w:rPr>
          <w:rFonts w:ascii="Times New Roman;serif" w:hAnsi="Times New Roman;serif"/>
          <w:b w:val="false"/>
          <w:color w:val="000000"/>
          <w:sz w:val="20"/>
        </w:rPr>
        <w:t>significant and changing government regulation;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receipt of regulatory approvals, if any.</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process of conducting the necessary clinical research to obtain regulatory approval from the U.S. Food and Drug Administration, or FDA, Medicines and Healthcare Products Regulatory Agency, or MHRA, European Medicines Agency, or EMA, and comparable foreign authorities is costly and time consuming and the successful development of product candidates is highly uncertain. The risks and uncertainties associated with our research and development projects are discussed more fully in the section of this Quarterly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product candidates.</w:t>
      </w:r>
    </w:p>
    <w:p>
      <w:pPr>
        <w:pStyle w:val="TextBody"/>
        <w:bidi w:val="0"/>
        <w:spacing w:lineRule="auto" w:line="288" w:before="1" w:after="20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compensation and personnel-related expenses, including stock-based compensation, for our personnel in executive, finance and other administrative functions. General and administrative expenses also include professional fees paid for accounting, auditing, legal, tax and consulting services, insurance costs, recruiting costs, travel expenses, facility and other related costs, depreciation, and other general and administrative costs.</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expenses as a result of operating as a public company, including expenses related to compliance with the rules and regulations of the SEC, director and officer insurance expenses, and any investor relations related expenses, as well as other administrative and professional services.</w:t>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 for the three months ended June 30, 2026 consisted primarily of an impairment loss recognized upon reclassifying the Tarzana facility to held and used, partially offset by a reversal of previously recognized cost to sell. Restructuring and impairment charges, net for the three months ended June 30, 2025 consisted primarily of contract terminations costs.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 for the six months ended June 30, 2026 consisted primarily of a net remeasurement loss recognized upon reclassifying the Tarzana facility to held and used and employee termination costs, partially offset by a reversal of previously recognized cost to sell. Restructuring and impairment charges, net for the six months ended June 30, 2025 consisted primarily of impairment charges and related estimated cost to sell recognized in connection with classifying our Tarzana facility as held for sale, as well as contract terminations costs.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2023, the Board of Directors approved a restructuring plan, and we announced the consolidation of the ITIL-306 Phase 1 clinical trial, which included contract terminations.</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we decided to initiate closure of our UK manufacturing and clinical operations related to our past development of our CoStAR-TIL technology, and in September 2024 we decided to close most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remaining Manchester, UK operations related to our past development of our CoStAR-TIL technology, which resulted in the elimination of the majority of the remaining UK workforce, with the remaining reduction substantially completed by the end of 2024.</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Collectively, the restructuring events from 2023 and 2024 are referred to as the “Plan.”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2025, the Board of Directors approved a plan to sell our Tarzana facility, and we listed our Tarzana facility for sale. At such time, we reclassified the facility as a long-lived asset held for sale and incurred impairment charges related thereto, which we refer to as the 2025 Tarzana Charges.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the Board of Directors approved discontinuing our plan to actively market the Tarzana facility for sale, and the Tarzana facility was reclassified from held for sale to held and used. In connection with the reclassification, we recognized an impairment charge to reduce the carrying value of the Tarzana facility to the lower of its adjusted carrying amount and fair value, which we refer to as the 2026 Tarzana Charges.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Axion Bio discontinued development of AXN-2510 and terminated certain employees associated with this program, or the 2026 Employee Terminations.</w:t>
      </w:r>
    </w:p>
    <w:p>
      <w:pPr>
        <w:pStyle w:val="TextBody"/>
        <w:bidi w:val="0"/>
        <w:spacing w:lineRule="auto" w:line="288" w:before="200" w:after="283"/>
        <w:ind w:left="0" w:right="0" w:firstLine="450"/>
        <w:jc w:val="left"/>
        <w:rPr/>
      </w:pPr>
      <w:r>
        <w:rPr>
          <w:rFonts w:ascii="Times New Roman;serif" w:hAnsi="Times New Roman;serif"/>
          <w:b w:val="false"/>
          <w:color w:val="000000"/>
          <w:sz w:val="20"/>
        </w:rPr>
        <w:t>As a result of the 2026 Employee Terminations and the 2026 Tarzana Charges we incurred restructuring and impairment charges, net of $0.2 million and $1.2 million during the three and six months ended June 30, 2026</w:t>
      </w:r>
      <w:r>
        <w:rPr>
          <w:rFonts w:ascii="Arial;sans-serif" w:hAnsi="Arial;sans-serif"/>
          <w:b w:val="false"/>
          <w:color w:val="000000"/>
          <w:sz w:val="20"/>
        </w:rPr>
        <w:t xml:space="preserve">, </w:t>
      </w:r>
      <w:r>
        <w:rPr>
          <w:rFonts w:ascii="Times New Roman;serif" w:hAnsi="Times New Roman;serif"/>
          <w:b w:val="false"/>
          <w:color w:val="000000"/>
          <w:sz w:val="20"/>
        </w:rPr>
        <w:t>respectively.</w:t>
      </w:r>
    </w:p>
    <w:p>
      <w:pPr>
        <w:pStyle w:val="TextBody"/>
        <w:bidi w:val="0"/>
        <w:spacing w:lineRule="auto" w:line="288" w:before="200"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from funds held in our cash and cash equivalent accounts, restricted cash and marketable securities.</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consists of interest expense on our debt and amortization of loan origination costs.</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Other Rental Income</w:t>
      </w:r>
    </w:p>
    <w:p>
      <w:pPr>
        <w:pStyle w:val="TextBody"/>
        <w:bidi w:val="0"/>
        <w:spacing w:lineRule="auto" w:line="288" w:before="200" w:after="200"/>
        <w:ind w:left="0" w:right="0" w:firstLine="450"/>
        <w:jc w:val="left"/>
        <w:rPr/>
      </w:pPr>
      <w:r>
        <w:rPr>
          <w:rFonts w:ascii="Times New Roman;serif" w:hAnsi="Times New Roman;serif"/>
          <w:b w:val="false"/>
          <w:color w:val="000000"/>
          <w:sz w:val="20"/>
        </w:rPr>
        <w:t xml:space="preserve">Other rental income consists of rental income related to the </w:t>
      </w:r>
      <w:r>
        <w:rPr>
          <w:rFonts w:ascii="Times New Roman;serif" w:hAnsi="Times New Roman;serif"/>
          <w:b w:val="false"/>
          <w:color w:val="000000"/>
          <w:sz w:val="20"/>
          <w:shd w:fill="FFFFFF" w:val="clear"/>
        </w:rPr>
        <w:t>Tarzana facility.</w:t>
      </w:r>
    </w:p>
    <w:p>
      <w:pPr>
        <w:pStyle w:val="TextBody"/>
        <w:bidi w:val="0"/>
        <w:spacing w:lineRule="auto" w:line="288" w:before="200" w:after="200"/>
        <w:ind w:left="0" w:right="0" w:firstLine="450"/>
        <w:jc w:val="left"/>
        <w:rPr>
          <w:rFonts w:ascii="Times New Roman;serif" w:hAnsi="Times New Roman;serif"/>
          <w:b/>
          <w:i/>
          <w:color w:val="000000"/>
          <w:sz w:val="20"/>
        </w:rPr>
      </w:pPr>
      <w:r>
        <w:rPr>
          <w:rFonts w:ascii="Times New Roman;serif" w:hAnsi="Times New Roman;serif"/>
          <w:b/>
          <w:i/>
          <w:color w:val="000000"/>
          <w:sz w:val="20"/>
        </w:rPr>
        <w:t>Gain on Contract Termination</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 on contract termination consists of a payment received pursuant to the termination agreement between ImmuneOnco Biopharmaceuticals (Shanghai) Inc., or ImmuneOnco, and Axion Bio related to discontinuing development of AXN-2510.</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 income, net consists primarily of foreign exchange remeasurement gain or loss and other expenses and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(in thousands):</w:t>
      </w:r>
    </w:p>
    <w:tbl>
      <w:tblPr>
        <w:tblW w:w="7662" w:type="dxa"/>
        <w:jc w:val="left"/>
        <w:tblInd w:w="0" w:type="dxa"/>
        <w:tblLayout w:type="fixed"/>
        <w:tblCellMar>
          <w:top w:w="28" w:type="dxa"/>
          <w:left w:w="28" w:type="dxa"/>
          <w:bottom w:w="28" w:type="dxa"/>
          <w:right w:w="28" w:type="dxa"/>
        </w:tblCellMar>
      </w:tblPr>
      <w:tblGrid>
        <w:gridCol w:w="1287"/>
        <w:gridCol w:w="1130"/>
        <w:gridCol w:w="1137"/>
        <w:gridCol w:w="225"/>
        <w:gridCol w:w="739"/>
        <w:gridCol w:w="116"/>
        <w:gridCol w:w="116"/>
        <w:gridCol w:w="116"/>
        <w:gridCol w:w="116"/>
        <w:gridCol w:w="225"/>
        <w:gridCol w:w="851"/>
        <w:gridCol w:w="116"/>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rental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(21,394)</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In-process Research and Development Expenses</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expenses were nil and $10.0 million for the three months ended June 30, 2026 and 2025, respectively. The net decrease of $10.0 million was due to the fact that there was no in-license payments for the three months ended June 30, 2026 and a $10.0 million in-license payment to ImmuneOnco pursuant to the license and collaboration agreement between Axion Bio and ImmuneOnco, or the IO Collaboration Agreement, for three months ended June 30, 2025.</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$0.3 million and $6.7 million for the three months ended June 30, 2026 and 2025, respectively. The net decrease of $6.4 million was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$5.0 million decrease in costs related to research and clinical development activities primarily due to discontinuing development of AXN-2510;</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$0.8 million decrease in consulting and professional services fees;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$0.6 million decrease in employee-related costs from reduced headcount, consisting primarily of a $0.5 million decrease in wages and benefits, $0.1 million decrease in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research and development expenses by program for the three months ended June 30, 2026 and 2025 (in thousands):</w:t>
      </w:r>
    </w:p>
    <w:tbl>
      <w:tblPr>
        <w:tblW w:w="6297" w:type="dxa"/>
        <w:jc w:val="left"/>
        <w:tblInd w:w="0" w:type="dxa"/>
        <w:tblLayout w:type="fixed"/>
        <w:tblCellMar>
          <w:top w:w="28" w:type="dxa"/>
          <w:left w:w="28" w:type="dxa"/>
          <w:bottom w:w="28" w:type="dxa"/>
          <w:right w:w="28" w:type="dxa"/>
        </w:tblCellMar>
      </w:tblPr>
      <w:tblGrid>
        <w:gridCol w:w="1338"/>
        <w:gridCol w:w="1173"/>
        <w:gridCol w:w="1179"/>
        <w:gridCol w:w="250"/>
        <w:gridCol w:w="553"/>
        <w:gridCol w:w="129"/>
        <w:gridCol w:w="129"/>
        <w:gridCol w:w="129"/>
        <w:gridCol w:w="129"/>
        <w:gridCol w:w="250"/>
        <w:gridCol w:w="856"/>
        <w:gridCol w:w="182"/>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AXN-2510</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AXN-2510</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program expenses</w:t>
            </w:r>
            <w:r>
              <w:rPr>
                <w:color w:val="000000"/>
              </w:rPr>
              <w:t xml:space="preserve"> </w:t>
            </w:r>
            <w:r>
              <w:rPr>
                <w:rFonts w:ascii="Times New Roman;serif" w:hAnsi="Times New Roman;serif"/>
                <w:b w:val="false"/>
                <w:color w:val="000000"/>
                <w:sz w:val="13"/>
              </w:rPr>
              <w:t>(1)</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by program</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w:t>
      </w:r>
    </w:p>
    <w:p>
      <w:pPr>
        <w:pStyle w:val="TextBody"/>
        <w:bidi w:val="0"/>
        <w:spacing w:lineRule="auto" w:line="288" w:before="1" w:after="1"/>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Other program expenses consist of costs related to our past development of our CoStAR-TIL technology.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$5.1 million and $6.2 million for the three months ended June 30, 2026 and 2025, respectively. The net decrease of $1.1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$0.7 million decrease in costs primarily from stock-based compensation expense;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$0.4 million decrease in facility and other office expenses.</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 were $0.2 million and $0.5 million for the three months ended June 30, 2026 and 2025, respectively. The net decrease of $0.3 million was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$0.5 million decrease in costs resulting from a termination of a contract; partially offset by</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$0.2 million increase in impairment costs attributable to a $8.1 million impairment loss recognized on the Tarzana facility due to reclassifying the Tarzana facility to held and used, partially offset by a $7.9 million reversal of previously recognized estimated cost to sell.</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Interest Income, Interest Expense, Other Rental Income and Other Income (Expense),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other rental income and other income (expense), net was $1.3 million and $2.0 million of income for the three months ended June 30, 2026 and 2025, respectively. The net decrease of $0.7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$0.4 million decrease in interest income related to our investments;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$0.3 million decrease in gain on foreign currency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(in thousands):</w:t>
      </w:r>
    </w:p>
    <w:tbl>
      <w:tblPr>
        <w:tblW w:w="7496" w:type="dxa"/>
        <w:jc w:val="left"/>
        <w:tblInd w:w="0" w:type="dxa"/>
        <w:tblLayout w:type="fixed"/>
        <w:tblCellMar>
          <w:top w:w="28" w:type="dxa"/>
          <w:left w:w="28" w:type="dxa"/>
          <w:bottom w:w="28" w:type="dxa"/>
          <w:right w:w="28" w:type="dxa"/>
        </w:tblCellMar>
      </w:tblPr>
      <w:tblGrid>
        <w:gridCol w:w="1287"/>
        <w:gridCol w:w="1130"/>
        <w:gridCol w:w="1137"/>
        <w:gridCol w:w="211"/>
        <w:gridCol w:w="691"/>
        <w:gridCol w:w="109"/>
        <w:gridCol w:w="109"/>
        <w:gridCol w:w="109"/>
        <w:gridCol w:w="109"/>
        <w:gridCol w:w="211"/>
        <w:gridCol w:w="796"/>
        <w:gridCol w:w="109"/>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rental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contract termination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In-process Research and Development Expenses</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expenses were nil and $10.0 million for the six months ended June 30, 2026 and 2025, respectively. The net decrease of $10.0 million was due to the fact that there was no in-license payment in the six months ended June 30, 2026 and a $10.0 million in-license payment to ImmuneOnco pursuant to the IO Collaboration Agreement in the six months ended June 30, 2025.</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$0.9 million and $12.1 million for the six months ended June 30, 2026 and 2025, respectively. The net decrease in research and development expenses of $11.2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$8.7 million decrease in costs related to research and clinical development activities primarily due to discontinuing development of AXN-2510;</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$1.8 million decrease in costs from reduced headcount, consisting primarily of a $1.0 million decrease in wages and benefits, a $0.7 million decrease in stock-based compensation expense, and a $0.1 million decrease for other employee-related expenses in relation to our research and development personnel;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$0.7 million decrease in consulting and professional service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research and development expenses by program for the six months ended June 30, 2026 and 2025 (in thousands):</w:t>
      </w:r>
    </w:p>
    <w:tbl>
      <w:tblPr>
        <w:tblW w:w="6118" w:type="dxa"/>
        <w:jc w:val="left"/>
        <w:tblInd w:w="0" w:type="dxa"/>
        <w:tblLayout w:type="fixed"/>
        <w:tblCellMar>
          <w:top w:w="28" w:type="dxa"/>
          <w:left w:w="28" w:type="dxa"/>
          <w:bottom w:w="28" w:type="dxa"/>
          <w:right w:w="28" w:type="dxa"/>
        </w:tblCellMar>
      </w:tblPr>
      <w:tblGrid>
        <w:gridCol w:w="1338"/>
        <w:gridCol w:w="1173"/>
        <w:gridCol w:w="1179"/>
        <w:gridCol w:w="233"/>
        <w:gridCol w:w="515"/>
        <w:gridCol w:w="120"/>
        <w:gridCol w:w="120"/>
        <w:gridCol w:w="120"/>
        <w:gridCol w:w="120"/>
        <w:gridCol w:w="233"/>
        <w:gridCol w:w="797"/>
        <w:gridCol w:w="170"/>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AXN-2510</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AXN-2510</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program expenses </w:t>
            </w:r>
            <w:r>
              <w:rPr>
                <w:rFonts w:ascii="Times New Roman;serif" w:hAnsi="Times New Roman;serif"/>
                <w:b w:val="false"/>
                <w:color w:val="000000"/>
                <w:sz w:val="13"/>
              </w:rPr>
              <w:t>(1)</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by program</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w:t>
      </w:r>
    </w:p>
    <w:p>
      <w:pPr>
        <w:pStyle w:val="TextBody"/>
        <w:bidi w:val="0"/>
        <w:spacing w:lineRule="auto" w:line="288" w:before="1" w:after="1"/>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Other program expenses consist of costs related to our past development of our CoStAR-TIL technology.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$10.5 million and $15.3 million for the six months ended June 30, 2026 and 2025, respectively. The net decrease of $4.8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$3.0 million decrease in costs from reduced headcount, mainly consisting of a decrease in stock-based compensation expense of $2.6 million, a decrease in wages of $0.3 million, and a decrease in other employee-related expenses of $0.1 million;</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$1.0 million decrease in depreciation and facility costs;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$0.8 million decrease in consulting and professional services costs.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 net were $1.2 million and $16.6 million for the six months ended June 30, 2026 and 2025, respectively. The net change of $15.4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$16.4 million decrease related to a $0.2 million impairment recognized in 2026 upon reclassifying the Tarzana facility from held for sale to held and used, consisting of a $8.1 million impairment loss partially offset by a $7.9 million reversal of estimated cost to sell, compared to a $16.6 million impairment charge and related estimated cost to sell recognized on the Tarzana facility in 2025, consisting of a $8.7 million impairment loss and $7.9 million related to the estimated cost to sell; partially offset by</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$1.0 million increase in severance payments and benefits continuation costs.</w:t>
      </w:r>
    </w:p>
    <w:p>
      <w:pPr>
        <w:pStyle w:val="TextBody"/>
        <w:bidi w:val="0"/>
        <w:spacing w:lineRule="auto" w:line="288" w:before="200" w:after="1"/>
        <w:jc w:val="left"/>
        <w:rPr>
          <w:rFonts w:ascii="Times New Roman;serif" w:hAnsi="Times New Roman;serif"/>
          <w:b w:val="false"/>
          <w:i/>
          <w:color w:val="000000"/>
          <w:sz w:val="20"/>
        </w:rPr>
      </w:pPr>
      <w:r>
        <w:rPr>
          <w:rFonts w:ascii="Times New Roman;serif" w:hAnsi="Times New Roman;serif"/>
          <w:b w:val="false"/>
          <w:i/>
          <w:color w:val="000000"/>
          <w:sz w:val="20"/>
        </w:rPr>
        <w:t>Interest Income, Interest Expense, Other Rental Income, Gain on Contract Termination, and Other Income (Expense), Net</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other rental income, gain on contract termination and other income (expense), net were $4.1 million and $4.4 million of income for the six months ended June 30, 2026 and 2025, respectively. The net decrease of $0.3 million was primarily due to:</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$0.9 million decrease in interest income related to our investments;</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$0.6 million increase in foreign currency transaction losses; and</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$0.4 million increase of interest expense from our note payable; partially offset by</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$1.6 million increase in gain on contract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360" w:after="1"/>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1"/>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not generated any revenue from product sales and we have incurred significant operating losses. We do not have any products that have achieved regulatory marketing approval and we do not expect to generate revenue from commercial sales of any product candidate for at least several years, if ever.</w:t>
      </w:r>
    </w:p>
    <w:p>
      <w:pPr>
        <w:pStyle w:val="TextBody"/>
        <w:bidi w:val="0"/>
        <w:spacing w:lineRule="auto" w:line="288" w:before="1"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our initial public offering, or IPO, we funded our operations primarily through the issuance and sale of convertible preferred stock. From our inception through March 2021, prior to our IPO, we raised net cash proceeds of $380.1 million from the issuance and sale of our convertible preferred stock.</w:t>
      </w:r>
    </w:p>
    <w:p>
      <w:pPr>
        <w:pStyle w:val="TextBody"/>
        <w:bidi w:val="0"/>
        <w:spacing w:lineRule="auto" w:line="28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2021, we raised net proceeds of $339.0 million in our IPO, pursuant to which we sold an aggregate of 920,000 shares of common stock.</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2022, our wholly owned subsidiaries, Complex Therapeutics Mezzanine LLC and Complex Therapeutics LLC, entered into a mortgage construction loan and mezzanine construction loan, or together, the Construction Loans, secured by Complex Therapeutics LLC’s Tarzana, California land and building. Construction of the Tarzana facility was subsequently completed and in 2024 the facility was leased to AstraZeneca Pharmaceuticals LP, or Tenant. The initial base rent under the lease to Tenant was approximately $0.4 million per month (approximately $7.5 million annually) and the base rent escalates by 3% per annum. On December 20, 2024, or the Closing Date, Complex Therapeutics LLC entered into a Term Loan Agreement and related loan documents with Midland National Life Insurance Company, or Midland, pursuant to which Midland loaned Complex Therapeutics LLC a term loan in the principal amount of $85.6 million, or the 2024 Loan, to refinance the Construction Loans secured by the Tarzana facility. Substantially all of the 2024 Loan proceeds were used to repay in full the Construction Loans.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13, 2024, we filed a shelf registration statement on Form S-3 with the SEC, which the SEC declared effective on November 21, 2024. Pursuant to our shelf registration statement we may, from time to time, sell up to an aggregate of $200 million of our common stock, preferred stock, debt securities or warrants.</w:t>
      </w:r>
    </w:p>
    <w:p>
      <w:pPr>
        <w:pStyle w:val="TextBody"/>
        <w:bidi w:val="0"/>
        <w:spacing w:lineRule="auto" w:line="288" w:before="200" w:after="200"/>
        <w:ind w:left="0" w:right="0" w:firstLine="450"/>
        <w:jc w:val="left"/>
        <w:rPr/>
      </w:pPr>
      <w:r>
        <w:rPr>
          <w:rFonts w:ascii="Times New Roman;serif" w:hAnsi="Times New Roman;serif"/>
          <w:b w:val="false"/>
          <w:color w:val="000000"/>
          <w:sz w:val="20"/>
        </w:rPr>
        <w:t>In March 2025, we entered into an Open Market Sale Agreement</w:t>
      </w:r>
      <w:r>
        <w:rPr>
          <w:rFonts w:ascii="Times New Roman;serif" w:hAnsi="Times New Roman;serif"/>
          <w:b w:val="false"/>
          <w:color w:val="000000"/>
          <w:sz w:val="13"/>
        </w:rPr>
        <w:t>SM</w:t>
      </w:r>
      <w:r>
        <w:rPr>
          <w:rFonts w:ascii="Times New Roman;serif" w:hAnsi="Times New Roman;serif"/>
          <w:b w:val="false"/>
          <w:color w:val="000000"/>
          <w:sz w:val="20"/>
        </w:rPr>
        <w:t xml:space="preserve">, with Jefferies LLC, or Jefferies, as sales agent, under which we may offer and sell, from time to time, shares of our common stock, through Jefferies, with an aggregate offering price of up to $100 million by methods deemed to be an </w:t>
      </w:r>
      <w:r>
        <w:rPr>
          <w:color w:val="000000"/>
          <w:shd w:fill="FFFFFF" w:val="clear"/>
        </w:rPr>
        <w:t>“</w:t>
      </w:r>
      <w:r>
        <w:rPr>
          <w:rFonts w:ascii="Times New Roman;serif" w:hAnsi="Times New Roman;serif"/>
          <w:b w:val="false"/>
          <w:color w:val="000000"/>
          <w:sz w:val="20"/>
        </w:rPr>
        <w:t>at the market offering,</w:t>
      </w:r>
      <w:r>
        <w:rPr>
          <w:color w:val="000000"/>
          <w:shd w:fill="FFFFFF" w:val="clear"/>
        </w:rPr>
        <w:t>”</w:t>
      </w:r>
      <w:r>
        <w:rPr>
          <w:color w:val="000000"/>
        </w:rPr>
        <w:t xml:space="preserve"> </w:t>
      </w:r>
      <w:r>
        <w:rPr>
          <w:rFonts w:ascii="Times New Roman;serif" w:hAnsi="Times New Roman;serif"/>
          <w:b w:val="false"/>
          <w:color w:val="000000"/>
          <w:sz w:val="20"/>
        </w:rPr>
        <w:t>or the ATM Program.</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have sold an aggregate of 185,837 shares of our common stock under the ATM Program for net proceeds of $6.6 million after deducting commissions and expenses of approximately $0.3 million. The remaining availability under the ATM Program as of June 30, 2026 was approximately $93.1 million.</w:t>
      </w:r>
    </w:p>
    <w:p>
      <w:pPr>
        <w:pStyle w:val="TextBody"/>
        <w:bidi w:val="0"/>
        <w:spacing w:lineRule="auto" w:line="288" w:before="24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restricted cash, and marketable securities of $69.9 million, which consisted of $5.5 million in cash and cash equivalents, $0.3 million in restricted cash, and $64.1 million in marketable securities. Cash in excess of immediate requirements is invested in accordance with our investment policy, primarily with a view to liquidity and capital preservation.</w:t>
      </w:r>
    </w:p>
    <w:p>
      <w:pPr>
        <w:pStyle w:val="TextBody"/>
        <w:bidi w:val="0"/>
        <w:spacing w:lineRule="auto" w:line="276" w:before="30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Complex Therapeutics LLC entered into the 2024 Loan to refinance the Construction Loans secured by the Tarzana facility. As of June 30, 2026, the outstanding principal amount under the 2024 Loan was $85.6 million and unamortized debt issuance costs were $0.4 million. The 2024 Loan bears interest at a fixed rate of 6.35% per annum, with interest-only payments during the term of the 2024 Loan and the principal balance due in full at maturity. The 2024 Loan may be prepaid in whole but not in part. There is no prepayment fee due if the 2024 Loan is prepaid after the 12-month anniversary of the Closing Date. The 2024 Loan has a term of two years with a one-year extension option. The extension option is subject to certain conditions being met, including: (a) no potential default or event of default, (b) payment of a 0.35% extension fee and the costs and expenses of Midland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incurred in connection with the extension, (c) replenishing of all reserve funds as reasonably determined by Midland, and (d) compliance with minimum debt yield and debt service coverage ratio requirements. We expect Complex Therapeutics LLC to meet all requirements necessary to exercise the extension to extend the maturity by one year to January 2028, and we expect that written notice to extend the loan will be provided as early as the 2024 Loan permits, which is no sooner than one hundred twenty days from its maturity date and no later than thirty days before its maturity date.</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plan, we believe our existing cash, cash equivalents, restricted cash and marketable securities will be sufficient to fund our operating expenses and capital expenditure requirements beyond 2027.</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going concern basis, which contemplates the realization of assets and the satisfaction of liabilities in the normal course of business. We evaluated our ability to continue as a going concern for the twelve months following the issuance of the condensed consolidated financial statements. As discussed above and in Note 10 to the accompanying condensed consolidated financial statements, the 2024 Loan is due in January 2027, for total principal of $85.6 million, which is in excess of cash, cash equivalents, and marketable securities on hand as of June 30, 2026, which we concluded is an indicator of substantial doubt about our ability to continue as a going concern.</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plan to exercise our contractual right to extend the maturity of the 2024 Loan to January 2028. In addition, we may seek to refinance or restructure the 2024 Loan, sell the Tarzana facility to repay the 2024 Loan, or seek additional financing in the form of equity or debt instruments. There can be no assurance that new financing or other forms of funding will be available on favorable terms or at all. We concluded that management’s plans, including Complex Therapeutics LLC’s contractual right to exercise the extension option to January 2028, which is within Complex Therapeutics LLC’s control, alleviate the conditions that raise substantial doubt about our ability to continue as a going concern.</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our cash to fund operations, primarily to fund our business development, research and development expenditures and related personnel costs. We expect our expenses to continue to be significant as we invest in research and development activities, particularly if we in-license or acquire product candidates, advance one or more product candidates into later stages of development and conduct clinical trials, seek regulatory approvals for and commercialize any product candidates that successfully complete clinical trials, hire personnel and invest in and grow our business, expand and protect our intellectual property portfolio, and operate as a public company. Because of the numerous risks and uncertainties associated with acquiring product candidates, and the research, development and commercialization of product candidates, we are unable to estimate the exact timing and amount of our funding requirements. Our future operating expenditures will depend on many factors, including:</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the extent to which we acquire or in-license other companies’ product candidates and technologies;</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scope, rate of progress, costs and results of future clinical and preclinical development activities;</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costs, timing and outcome of regulatory review of any product candidates, and the number of trials required for regulatory approval;</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cost of manufacturing any product candidates, as well as any products we successfully commercialize;</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cost of commercialization activities of any product candidates, if approved for sale, including marketing, sales and distribution costs;</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timing, receipt and amount of sales of any product candidates, if approved;</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our ability to establish and maintain strategic collaborations, licensing or other arrangements and the financial terms of any such arrangements, including the timing and amount of any future milestone, royalty or other payments due under any such agreement;</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any product liability or other lawsuits or claims;</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expenses needed to attract, hire and retain skilled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our investments in our operational, financial and management information systems;</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costs associated with operating as a public company;</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the costs involved in preparing, filing, prosecuting, maintaining, defending and enforcing any intellectual property portfolio we may acquire;</w:t>
      </w:r>
    </w:p>
    <w:p>
      <w:pPr>
        <w:pStyle w:val="TextBody"/>
        <w:bidi w:val="0"/>
        <w:spacing w:lineRule="auto" w:line="288" w:before="1" w:after="120"/>
        <w:ind w:left="0" w:right="0" w:hanging="720"/>
        <w:jc w:val="left"/>
        <w:rPr/>
      </w:pPr>
      <w:r>
        <w:rPr>
          <w:color w:val="000000"/>
        </w:rPr>
        <w:t>•</w:t>
      </w:r>
      <w:r>
        <w:rPr>
          <w:rFonts w:ascii="Times New Roman;serif" w:hAnsi="Times New Roman;serif"/>
          <w:b w:val="false"/>
          <w:color w:val="000000"/>
          <w:sz w:val="20"/>
        </w:rPr>
        <w:t>costs related to the Tarzana facility; and</w:t>
      </w:r>
    </w:p>
    <w:p>
      <w:pPr>
        <w:pStyle w:val="TextBody"/>
        <w:bidi w:val="0"/>
        <w:spacing w:lineRule="auto" w:line="288" w:before="1" w:after="200"/>
        <w:ind w:left="0" w:right="0" w:hanging="720"/>
        <w:jc w:val="left"/>
        <w:rPr/>
      </w:pPr>
      <w:r>
        <w:rPr>
          <w:color w:val="000000"/>
        </w:rPr>
        <w:t>•</w:t>
      </w:r>
      <w:r>
        <w:rPr>
          <w:rFonts w:ascii="Times New Roman;serif" w:hAnsi="Times New Roman;serif"/>
          <w:b w:val="false"/>
          <w:color w:val="000000"/>
          <w:sz w:val="20"/>
        </w:rPr>
        <w:t>any delays or issues resulting from the impact of adverse geopolitical and economic conditions.</w:t>
      </w:r>
    </w:p>
    <w:p>
      <w:pPr>
        <w:pStyle w:val="TextBody"/>
        <w:bidi w:val="0"/>
        <w:spacing w:lineRule="auto" w:line="288" w:before="0" w:after="200"/>
        <w:ind w:left="0" w:right="0" w:firstLine="450"/>
        <w:jc w:val="left"/>
        <w:rPr/>
      </w:pPr>
      <w:r>
        <w:rPr>
          <w:rFonts w:ascii="Times New Roman;serif" w:hAnsi="Times New Roman;serif"/>
          <w:b w:val="false"/>
          <w:color w:val="000000"/>
          <w:sz w:val="20"/>
        </w:rPr>
        <w:t xml:space="preserve">Until we can generate substantial revenue from sales of a product candidate, if that occurs, we plan to fund our operations through equity offerings, debt financings, leasing income, or other capital sources. This may include strategic collaborations or other arrangements with third parties. Additional funds may not be available to us on acceptable terms or at all. If we raise additional funds by issuing equity or convertible debt securities, our stockholders will suffer dilution, and the terms of these securities may include liquidation or other preferences that adversely affect the rights of our common stockholders. Debt financing, if available, may involve restrictive covenants limiting our flexibility in conducting future business activities, and, in the event of insolvency, debt holders would be repaid before holders of our equity securities receive any distribution of our corporate assets. If we raise funds through collaborations or other similar arrangements with third parties, we may have to relinquish valuable rights to technologies, future revenue streams, product candidates or research programs or grant licenses on terms that may not be favorable to us and/or may reduce the value of our common stock. Our ability to raise additional funds may be adversely impacted by worsening global economic conditions and the recent disruptions to, and volatility in, the credit and financial markets in the United States and worldwide resulting from, among other things, heightened inflation, fluctuations in interest rates, military conflicts, including in Ukraine and the Middle East, tariffs and recent and potential trade wars. If we fail to obtain necessary capital when needed on acceptable terms, or at all, it could force us to delay, limit, reduce or terminate our product development programs, commercialization efforts or other operations. See </w:t>
      </w:r>
      <w:r>
        <w:rPr>
          <w:color w:val="000000"/>
          <w:shd w:fill="FFFFFF" w:val="clear"/>
        </w:rPr>
        <w:t>“</w:t>
      </w:r>
      <w:r>
        <w:rPr>
          <w:rFonts w:ascii="Times New Roman;serif" w:hAnsi="Times New Roman;serif"/>
          <w:b w:val="false"/>
          <w:color w:val="000000"/>
          <w:sz w:val="20"/>
        </w:rPr>
        <w:t xml:space="preserve">Risk Factors” in Part II, Item 1A </w:t>
      </w:r>
      <w:r>
        <w:rPr>
          <w:rFonts w:ascii="Times New Roman;serif" w:hAnsi="Times New Roman;serif"/>
          <w:b w:val="false"/>
          <w:color w:val="000000"/>
          <w:sz w:val="20"/>
          <w:shd w:fill="FFFFFF" w:val="clear"/>
        </w:rPr>
        <w:t>of this Quarterly Report on Form 10-Q and “</w:t>
      </w:r>
      <w:r>
        <w:rPr>
          <w:rFonts w:ascii="Times New Roman;serif" w:hAnsi="Times New Roman;serif"/>
          <w:b w:val="false"/>
          <w:color w:val="000000"/>
          <w:sz w:val="20"/>
        </w:rPr>
        <w:t>Risk Factors” in Part I, Item 1A of our Annual Report on Form 10-K for the year ended December 31, 2025.</w:t>
      </w:r>
    </w:p>
    <w:p>
      <w:pPr>
        <w:pStyle w:val="TextBody"/>
        <w:bidi w:val="0"/>
        <w:spacing w:lineRule="auto" w:line="288" w:before="2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significant sources and uses of cash for the periods set forth below (in thousands):</w:t>
      </w:r>
    </w:p>
    <w:tbl>
      <w:tblPr>
        <w:tblW w:w="7284" w:type="dxa"/>
        <w:jc w:val="left"/>
        <w:tblInd w:w="0" w:type="dxa"/>
        <w:tblLayout w:type="fixed"/>
        <w:tblCellMar>
          <w:top w:w="28" w:type="dxa"/>
          <w:left w:w="28" w:type="dxa"/>
          <w:bottom w:w="28" w:type="dxa"/>
          <w:right w:w="28" w:type="dxa"/>
        </w:tblCellMar>
      </w:tblPr>
      <w:tblGrid>
        <w:gridCol w:w="1732"/>
        <w:gridCol w:w="1520"/>
        <w:gridCol w:w="1533"/>
        <w:gridCol w:w="211"/>
        <w:gridCol w:w="691"/>
        <w:gridCol w:w="109"/>
        <w:gridCol w:w="109"/>
        <w:gridCol w:w="109"/>
        <w:gridCol w:w="109"/>
        <w:gridCol w:w="211"/>
        <w:gridCol w:w="79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operating activities for the six months ended June 30, 2026 was $6.0 million, which consisted of the net loss of $8.5 million, $0.8 million net change to our net operating assets and liabilities, and $3.3 million in non-cash charges and other adjustments to reconcile net loss to net cash used in operating activities. The non-cash charges primarily consisted of impairment of property, plant and equipment and estimated cost to sell, net of $0.2 million, stock-based compensation expense of $2.0 million, non-cash interest expense of $0.4 million, accretion on invested securities of $0.3 million, depreciation expense of $0.3 million, non-cash lease expense of $0.1 million, and foreign exchange remeasurement of $0.1 million. The net change in our operating assets and liabilities was primarily due to a decrease of approximately $1.6 million in accrued expenses and other current liabilities, an increase of $0.6 million in accrued rent receivable, and an increase of $0.2 million in operating lease liabilities, partially offset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decrease of $1.4 million in prepaid expenses and other current assets and a decrease of $0.2 million in other long-term assets.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for the six months ended June 30, 2025 was $19.0 million, which consisted of the net loss of $49.6 million and a $1.4 million net change to our net operating assets and liabilities, partially offset by $32.0 million in non-cash charges and other adjustments to reconcile net loss to net cash used in operating activities. The non-cash charges primarily consisted of impairment of property, plant and equipment and estimated cost to sell, net of $16.6 million, in-process research and development expenses of $10.0 million, stock-based compensation expense of $5.3 million, depreciation expense of $0.5 million, and non-cash interest expense of $0.4 million, partially offset by a change in foreign exchange remeasurement of $0.6 million and accretion on invested securities of $0.2 million. The net change in our operating assets and liabilities was primarily due to an decrease of $3.2 million in accrued expenses and other current liabilities, an increase of $2.7 million in accrued rent receivable, an decrease of $1.5 million in operating lease liabilities, and a decrease of $0.1 million in accounts payable, partially offset by a decrease of $5.8 million in prepaid expenses and other current assets and a decrease of $0.3 million in other long-term assets.</w:t>
      </w:r>
    </w:p>
    <w:p>
      <w:pPr>
        <w:pStyle w:val="TextBody"/>
        <w:bidi w:val="0"/>
        <w:spacing w:lineRule="auto" w:line="288" w:before="2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six months ended June 30, 2026 was $5.0 million, consisting of $5.0 million of cash provided by marketable securities investments.</w:t>
      </w:r>
    </w:p>
    <w:p>
      <w:pPr>
        <w:pStyle w:val="TextBody"/>
        <w:bidi w:val="0"/>
        <w:spacing w:lineRule="auto" w:line="28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six months ended June 30, 2025 was $9.2 million, consisting primarily of $8.8 million of cash provided by marketable securities investments and $0.4 million of cash received from the sale of held for sale assets in the UK.</w:t>
      </w:r>
    </w:p>
    <w:p>
      <w:pPr>
        <w:pStyle w:val="TextBody"/>
        <w:bidi w:val="0"/>
        <w:spacing w:lineRule="auto" w:line="288" w:before="2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six months ended June 30, 2026 was nil.</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six months ended June 30, 2025 was $6.9 million, and primarily consisted of net proceeds from our ATM Program of $6.6 million and net proceeds from the exercise of stock options of $0.5 million, partially offset by loan agreement closing costs of $0.2 million.</w:t>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the condensed consolidated financial statements requires us to make estimates and assumptions that affect the reported amounts of assets and liabilities and the disclosure of contingent assets and liabilities at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a description of critical accounting policies that require significant judgments and estimates during the preparation of our financial statements, refer to “Management’s Discussion and Analysis of Financial Condition and Results of Operations—Critical Accounting Policies and Estimates” and Note 2 to our consolidated financial statements contained in our Annual Report on Form 10-K for the year ended December 31, 2025 and Note 2 to the condensed consolidated financial statements included elsewhere in this Quarterly Report on Form 10-Q.</w:t>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recent accounting pronouncements applicable to us is included in Note 2 to the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Status and Smaller Reporting Company Status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or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Accordingly, the information contained herein may be different than the information you receive from other public companies in which you hold stock.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emerging growth companies can delay adopting new or revised accounting standards issued subsequent to the enactment of the JOBS Act until such time as those standards apply to private companies. We have elected to avail ourselves of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lineRule="auto" w:line="26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Rule 12b-2 under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Item 10 of Regulation S-K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1"/>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Quarterly Report. Based upon that evaluation, our Chief Executive Officer and Chief Financial Officer have concluded that, as of June 30, 2026,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1" w:after="1"/>
        <w:jc w:val="left"/>
        <w:rPr/>
      </w:pPr>
      <w:r>
        <w:rPr/>
      </w:r>
    </w:p>
    <w:p>
      <w:pPr>
        <w:pStyle w:val="TextBody"/>
        <w:bidi w:val="0"/>
        <w:spacing w:lineRule="auto" w:line="288"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subject to any material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center"/>
        <w:rPr/>
      </w:pPr>
      <w:r>
        <w:rPr/>
      </w:r>
    </w:p>
    <w:p>
      <w:pPr>
        <w:pStyle w:val="TextBody"/>
        <w:bidi w:val="0"/>
        <w:spacing w:lineRule="auto" w:line="288" w:before="1" w:after="1"/>
        <w:ind w:left="0" w:right="0" w:firstLine="72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88" w:before="1" w:after="200"/>
        <w:ind w:left="0" w:right="0" w:firstLine="450"/>
        <w:jc w:val="left"/>
        <w:rPr/>
      </w:pPr>
      <w:r>
        <w:rPr>
          <w:rFonts w:ascii="Times New Roman;serif" w:hAnsi="Times New Roman;serif"/>
          <w:b w:val="false"/>
          <w:color w:val="000000"/>
          <w:sz w:val="20"/>
        </w:rPr>
        <w:t xml:space="preserve">There are no material changes to the risk factors set forth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 except for the following.</w:t>
      </w:r>
    </w:p>
    <w:p>
      <w:pPr>
        <w:pStyle w:val="TextBody"/>
        <w:bidi w:val="0"/>
        <w:spacing w:lineRule="auto" w:line="288" w:before="1"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incurred significant losses related to our Tarzana, California facility and may incur additional significant losses related to the facility in the future.</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date, we have recorded $58.4 million in impairment charges on long-lived assets related to our facility in Tarzana, California. Significant impairment charges related to our Tarzana facility were recorded in the third quarter of 2023, the first quarter of 2025 and, most recently, in the second quarter of 2026. We may incur additional losses due to impairment charges related to the Tarzana facility. In addition, in the event the Tarzana facility is sold, we may not recover its carrying value and may suffer additional significant losses. Further, it is possible that we will not be able to sell the facility for an amount equal to or greater than the amount of secured debt encumbering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lineRule="auto" w:line="288" w:before="20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288" w:before="1"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1"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20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 of our directors or executive officers adopted or terminated a Rule 10b5-1 trading arrangement or a non-Rule 10b5-1 trading arrangement (as defined in Item 408(c) of Regulation S-K) during the quarterly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exhibits listed on the Exhibit Index are either filed or furnished with this report or incorporated herein by reference.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23"/>
        <w:gridCol w:w="2577"/>
        <w:gridCol w:w="366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as amended (incorporated herein by reference to Exhibit 3.1 to the Company’s Annual Report on Form 10-K (File No. 001-40215), filed with the SEC on March 21, 2024)</w:t>
              </w:r>
            </w:hyperlink>
            <w:r>
              <w:rPr>
                <w:rFonts w:ascii="Times New Roman;serif" w:hAnsi="Times New Roman;serif"/>
                <w:b w:val="false"/>
                <w:color w:val="000000"/>
                <w:sz w:val="2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(incorporated herein by reference to Exhibit 3.2 to the Company’s Current Report on Form 8-K (File No. 001-40215), filed with the SEC on March 23,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311certificationofp.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312certificationofp.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321certificationce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322certificationcfo.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2026 formatted in Inline XBRL (Extensible Business Reporting Language) includes: (i) the Condensed Consolidated Balance Sheets, (ii) the Condensed Consolidated Statements of Operations and Comprehensive Loss, (iii) the Condensed Consolidated Statements of Stockholders’ Equity, (iv) the Condensed Consolidated Statements of Cash Flows, and (v) Notes to the Condensed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These certifications are being furnished solely to accompany this quarterly report on Form 10-Q pursuant to 18 U.S.C. Section 1350, as adopted pursuant to Section 906 of the Sarbanes-Oxley Act of 2002, and shall not be deemed “filed” by the registrant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0" w:after="200"/>
        <w:ind w:left="0" w:right="0" w:firstLine="990"/>
        <w:jc w:val="left"/>
        <w:rPr/>
      </w:pPr>
      <w:r>
        <w:rPr/>
      </w:r>
    </w:p>
    <w:p>
      <w:pPr>
        <w:pStyle w:val="TextBody"/>
        <w:bidi w:val="0"/>
        <w:spacing w:before="10" w:after="20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400"/>
        <w:jc w:val="left"/>
        <w:rPr/>
      </w:pPr>
      <w:r>
        <w:rPr/>
      </w:r>
    </w:p>
    <w:tbl>
      <w:tblPr>
        <w:tblW w:w="10205" w:type="dxa"/>
        <w:jc w:val="left"/>
        <w:tblInd w:w="0" w:type="dxa"/>
        <w:tblLayout w:type="fixed"/>
        <w:tblCellMar>
          <w:top w:w="28" w:type="dxa"/>
          <w:left w:w="28" w:type="dxa"/>
          <w:bottom w:w="28" w:type="dxa"/>
          <w:right w:w="28" w:type="dxa"/>
        </w:tblCellMar>
      </w:tblPr>
      <w:tblGrid>
        <w:gridCol w:w="526"/>
        <w:gridCol w:w="461"/>
        <w:gridCol w:w="464"/>
        <w:gridCol w:w="178"/>
        <w:gridCol w:w="177"/>
        <w:gridCol w:w="177"/>
        <w:gridCol w:w="177"/>
        <w:gridCol w:w="177"/>
        <w:gridCol w:w="177"/>
        <w:gridCol w:w="2247"/>
        <w:gridCol w:w="2242"/>
        <w:gridCol w:w="3202"/>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INSTIL BIO, INC.</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Sandeep Laumas</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Sandeep Laumas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Chief Business Officer</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(On behalf of the registrant and in his capacity as Principal Financial Officer and Principal Accounting Officer)</w:t>
            </w:r>
          </w:p>
          <w:p>
            <w:pPr>
              <w:pStyle w:val="TableContents"/>
              <w:bidi w:val="0"/>
              <w:spacing w:before="0" w:after="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27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Bronson Crouch, certify that: </w:t>
      </w:r>
    </w:p>
    <w:p>
      <w:pPr>
        <w:pStyle w:val="TextBody"/>
        <w:bidi w:val="0"/>
        <w:spacing w:lineRule="auto" w:line="288" w:before="0" w:after="0"/>
        <w:jc w:val="left"/>
        <w:rPr>
          <w:color w:val="000000"/>
        </w:rPr>
      </w:pPr>
      <w:r>
        <w:rPr>
          <w:color w:val="000000"/>
        </w:rPr>
        <w:t> </w:t>
      </w:r>
    </w:p>
    <w:tbl>
      <w:tblPr>
        <w:tblW w:w="6162" w:type="dxa"/>
        <w:jc w:val="left"/>
        <w:tblInd w:w="0" w:type="dxa"/>
        <w:tblLayout w:type="fixed"/>
        <w:tblCellMar>
          <w:top w:w="28" w:type="dxa"/>
          <w:left w:w="28" w:type="dxa"/>
          <w:bottom w:w="28" w:type="dxa"/>
          <w:right w:w="28" w:type="dxa"/>
        </w:tblCellMar>
      </w:tblPr>
      <w:tblGrid>
        <w:gridCol w:w="124"/>
        <w:gridCol w:w="109"/>
        <w:gridCol w:w="109"/>
        <w:gridCol w:w="1703"/>
        <w:gridCol w:w="1703"/>
        <w:gridCol w:w="24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Instil Bio, Inc.;</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lineRule="auto" w:line="288" w:before="0" w:after="0"/>
        <w:jc w:val="left"/>
        <w:rPr>
          <w:color w:val="000000"/>
        </w:rPr>
      </w:pPr>
      <w:r>
        <w:rPr>
          <w:color w:val="000000"/>
        </w:rPr>
        <w:t> </w:t>
      </w:r>
    </w:p>
    <w:tbl>
      <w:tblPr>
        <w:tblW w:w="3285" w:type="dxa"/>
        <w:jc w:val="left"/>
        <w:tblInd w:w="0" w:type="dxa"/>
        <w:tblLayout w:type="fixed"/>
        <w:tblCellMar>
          <w:top w:w="28" w:type="dxa"/>
          <w:left w:w="28" w:type="dxa"/>
          <w:bottom w:w="28" w:type="dxa"/>
          <w:right w:w="28" w:type="dxa"/>
        </w:tblCellMar>
      </w:tblPr>
      <w:tblGrid>
        <w:gridCol w:w="1050"/>
        <w:gridCol w:w="922"/>
        <w:gridCol w:w="1313"/>
      </w:tblGrid>
      <w:tr>
        <w:trPr/>
        <w:tc>
          <w:tcPr>
            <w:tcW w:w="105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Bronson Crouch</w:t>
            </w:r>
          </w:p>
        </w:tc>
      </w:tr>
      <w:tr>
        <w:trPr/>
        <w:tc>
          <w:tcPr>
            <w:tcW w:w="32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Bronson Crouch</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Chief Executive Officer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27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Sandeep Laumas, certify that: </w:t>
      </w:r>
    </w:p>
    <w:p>
      <w:pPr>
        <w:pStyle w:val="TextBody"/>
        <w:bidi w:val="0"/>
        <w:spacing w:lineRule="auto" w:line="288" w:before="0" w:after="0"/>
        <w:jc w:val="left"/>
        <w:rPr>
          <w:color w:val="000000"/>
        </w:rPr>
      </w:pPr>
      <w:r>
        <w:rPr>
          <w:color w:val="000000"/>
        </w:rPr>
        <w:t> </w:t>
      </w:r>
    </w:p>
    <w:tbl>
      <w:tblPr>
        <w:tblW w:w="6162" w:type="dxa"/>
        <w:jc w:val="left"/>
        <w:tblInd w:w="0" w:type="dxa"/>
        <w:tblLayout w:type="fixed"/>
        <w:tblCellMar>
          <w:top w:w="28" w:type="dxa"/>
          <w:left w:w="28" w:type="dxa"/>
          <w:bottom w:w="28" w:type="dxa"/>
          <w:right w:w="28" w:type="dxa"/>
        </w:tblCellMar>
      </w:tblPr>
      <w:tblGrid>
        <w:gridCol w:w="124"/>
        <w:gridCol w:w="109"/>
        <w:gridCol w:w="109"/>
        <w:gridCol w:w="1703"/>
        <w:gridCol w:w="1703"/>
        <w:gridCol w:w="24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Instil Bio, Inc.;</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lineRule="auto" w:line="288" w:before="0" w:after="0"/>
        <w:jc w:val="left"/>
        <w:rPr>
          <w:color w:val="000000"/>
        </w:rPr>
      </w:pPr>
      <w:r>
        <w:rPr>
          <w:color w:val="000000"/>
        </w:rPr>
        <w:t> </w:t>
      </w:r>
    </w:p>
    <w:tbl>
      <w:tblPr>
        <w:tblW w:w="3525" w:type="dxa"/>
        <w:jc w:val="left"/>
        <w:tblInd w:w="0" w:type="dxa"/>
        <w:tblLayout w:type="fixed"/>
        <w:tblCellMar>
          <w:top w:w="28" w:type="dxa"/>
          <w:left w:w="28" w:type="dxa"/>
          <w:bottom w:w="28" w:type="dxa"/>
          <w:right w:w="28" w:type="dxa"/>
        </w:tblCellMar>
      </w:tblPr>
      <w:tblGrid>
        <w:gridCol w:w="1129"/>
        <w:gridCol w:w="992"/>
        <w:gridCol w:w="140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Sandeep Laumas</w:t>
            </w:r>
          </w:p>
        </w:tc>
      </w:tr>
      <w:tr>
        <w:trPr/>
        <w:tc>
          <w:tcPr>
            <w:tcW w:w="35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Sandeep Laumas</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6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Instil Bio, Inc. (the “Company”) on Form 10-Q for the quarter ended June 30, 2026 as filed with the Securities and Exchange Commission on the date hereof (the “Report”), I, Bronson Crouch, Chief Executive Officer of the Company, certify, pursuant to 18 U.S.C. Section 1350, as adopted pursuant to Section 906 of the Sarbanes-Oxley Act of 2002, that, to my knowledge: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(the “Exchange Act”);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2580" w:type="dxa"/>
        <w:jc w:val="left"/>
        <w:tblInd w:w="0" w:type="dxa"/>
        <w:tblLayout w:type="fixed"/>
        <w:tblCellMar>
          <w:top w:w="28" w:type="dxa"/>
          <w:left w:w="28" w:type="dxa"/>
          <w:bottom w:w="28" w:type="dxa"/>
          <w:right w:w="28" w:type="dxa"/>
        </w:tblCellMar>
      </w:tblPr>
      <w:tblGrid>
        <w:gridCol w:w="825"/>
        <w:gridCol w:w="724"/>
        <w:gridCol w:w="1031"/>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Bronson Crouch</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Bronson Crouch</w:t>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6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Instil Bio, Inc. (the “Company”) on Form 10-Q for the quarter ended June 30, 2026 as filed with the Securities and Exchange Commission on the date hereof (the “Report”), I, Sandeep Laumas, Chief Financial Officer of the Company, certify, pursuant to 18 U.S.C. Section 1350, as adopted pursuant to Section 906 of the Sarbanes-Oxley Act of 2002, that, to my knowledge: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(the “Exchange Act”);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5159" w:type="dxa"/>
        <w:jc w:val="left"/>
        <w:tblInd w:w="0" w:type="dxa"/>
        <w:tblLayout w:type="fixed"/>
        <w:tblCellMar>
          <w:top w:w="28" w:type="dxa"/>
          <w:left w:w="28" w:type="dxa"/>
          <w:bottom w:w="28" w:type="dxa"/>
          <w:right w:w="28" w:type="dxa"/>
        </w:tblCellMar>
      </w:tblPr>
      <w:tblGrid>
        <w:gridCol w:w="1653"/>
        <w:gridCol w:w="1452"/>
        <w:gridCol w:w="2054"/>
      </w:tblGrid>
      <w:tr>
        <w:trPr/>
        <w:tc>
          <w:tcPr>
            <w:tcW w:w="165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Sandeep Laumas</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Sandeep Laumas</w:t>
            </w:r>
          </w:p>
        </w:tc>
      </w:tr>
      <w:tr>
        <w:trPr/>
        <w:tc>
          <w:tcPr>
            <w:tcW w:w="5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9769/000178976924000036/amendedandrestatedcertific.htm" TargetMode="External"/><Relationship Id="rId3" Type="http://schemas.openxmlformats.org/officeDocument/2006/relationships/hyperlink" Target="https://www.sec.gov/Archives/edgar/data/1789769/000119312521091216/d131874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17989</Words>
  <Characters>98803</Characters>
  <CharactersWithSpaces>115695</CharactersWithSpaces>
  <Paragraphs>1836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